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Arial" w:cs="Arial" w:eastAsia="Arial" w:hAnsi="Arial"/>
          <w:b/>
          <w:bCs/>
          <w:color w:val="1F4E79"/>
          <w:sz w:val="28"/>
          <w:szCs w:val="28"/>
        </w:rPr>
        <w:t xml:space="preserve">© UE Campus 2026</w:t>
      </w:r>
    </w:p>
    <w:p>
      <w:pPr>
        <w:spacing w:after="200"/>
      </w:pPr>
      <w:r>
        <w:rPr>
          <w:rFonts w:ascii="Arial" w:cs="Arial" w:eastAsia="Arial" w:hAnsi="Arial"/>
          <w:color w:val="333333"/>
          <w:sz w:val="22"/>
          <w:szCs w:val="22"/>
        </w:rPr>
        <w:t xml:space="preserve">All rights reserved.</w:t>
      </w:r>
    </w:p>
    <w:p>
      <w:pPr>
        <w:spacing w:after="200"/>
      </w:pPr>
      <w:r>
        <w:rPr>
          <w:rFonts w:ascii="Arial" w:cs="Arial" w:eastAsia="Arial" w:hAnsi="Arial"/>
          <w:color w:val="333333"/>
          <w:sz w:val="22"/>
          <w:szCs w:val="22"/>
        </w:rPr>
        <w:t xml:space="preserve">Every attempt has been made to ensure the accuracy of this study guide; however, no liability can be accepted for any loss incurred in any way whatsoever by any person relying solely on the information contained within it. The study guide has been produced solely for the purpose of professional qualification study and should not be taken as definitive of the legal position.</w:t>
      </w:r>
    </w:p>
    <w:p>
      <w:pPr>
        <w:spacing w:after="200"/>
      </w:pPr>
      <w:r>
        <w:rPr>
          <w:rFonts w:ascii="Arial" w:cs="Arial" w:eastAsia="Arial" w:hAnsi="Arial"/>
          <w:color w:val="333333"/>
          <w:sz w:val="22"/>
          <w:szCs w:val="22"/>
        </w:rPr>
        <w:t xml:space="preserve">Specific advice should always be obtained before implementing any financial services security controls. The guidance in this study guide does not constitute financial or legal advice.</w:t>
      </w:r>
    </w:p>
    <w:p>
      <w:pPr>
        <w:spacing w:after="200"/>
      </w:pPr>
      <w:r>
        <w:rPr>
          <w:rFonts w:ascii="Arial" w:cs="Arial" w:eastAsia="Arial" w:hAnsi="Arial"/>
          <w:color w:val="333333"/>
          <w:sz w:val="22"/>
          <w:szCs w:val="22"/>
        </w:rPr>
        <w:t xml:space="preserve">Copyright © UE Campus 2026</w:t>
      </w:r>
    </w:p>
    <w:p>
      <w:pPr>
        <w:spacing w:after="200"/>
      </w:pPr>
      <w:r>
        <w:rPr>
          <w:rFonts w:ascii="Arial" w:cs="Arial" w:eastAsia="Arial" w:hAnsi="Arial"/>
          <w:color w:val="333333"/>
          <w:sz w:val="22"/>
          <w:szCs w:val="22"/>
        </w:rPr>
        <w:t xml:space="preserve">First published in 2026 by UE Campus</w:t>
      </w:r>
    </w:p>
    <w:p>
      <w:pPr>
        <w:spacing w:after="200"/>
      </w:pPr>
      <w:r>
        <w:rPr>
          <w:rFonts w:ascii="Arial" w:cs="Arial" w:eastAsia="Arial" w:hAnsi="Arial"/>
          <w:color w:val="333333"/>
          <w:sz w:val="22"/>
          <w:szCs w:val="22"/>
        </w:rPr>
        <w:t xml:space="preserve">Unit specifications can be found on the UE Campus Portal: https://uecampus.com/</w:t>
      </w:r>
    </w:p>
    <w:p>
      <w:pPr>
        <w:sectPr>
          <w:pgSz w:w="11906" w:h="16838" w:orient="portrait"/>
          <w:pgMar w:top="2880" w:right="1440" w:bottom="1440" w:left="1440" w:header="708" w:footer="708" w:gutter="0"/>
          <w:pgNumType/>
          <w:docGrid w:linePitch="360"/>
        </w:sectPr>
      </w:pPr>
    </w:p>
    <w:p>
      <w:pPr>
        <w:pStyle w:val="Heading1"/>
      </w:pPr>
      <w:r>
        <w:t xml:space="preserve">Contents</w:t>
      </w:r>
    </w:p>
    <w:p>
      <w:pPr>
        <w:spacing w:after="60"/>
      </w:pPr>
      <w:r>
        <w:rPr>
          <w:rFonts w:ascii="Arial" w:cs="Arial" w:eastAsia="Arial" w:hAnsi="Arial"/>
          <w:b/>
          <w:bCs/>
          <w:color w:val="333333"/>
          <w:sz w:val="22"/>
          <w:szCs w:val="22"/>
        </w:rPr>
        <w:t xml:space="preserve">Using your Study Guide</w:t>
      </w:r>
      <w:r>
        <w:rPr>
          <w:rFonts w:ascii="Arial" w:cs="Arial" w:eastAsia="Arial" w:hAnsi="Arial"/>
          <w:color w:val="333333"/>
          <w:sz w:val="22"/>
          <w:szCs w:val="22"/>
        </w:rPr>
        <w:ptab w:alignment="right" w:relativeTo="margin" w:leader="dot"/>
        <w:t xml:space="preserve">4</w:t>
      </w:r>
    </w:p>
    <w:p>
      <w:pPr>
        <w:spacing w:after="60"/>
        <w:ind w:left="360"/>
      </w:pPr>
      <w:r>
        <w:rPr>
          <w:rFonts w:ascii="Arial" w:cs="Arial" w:eastAsia="Arial" w:hAnsi="Arial"/>
          <w:b w:val="false"/>
          <w:bCs w:val="false"/>
          <w:color w:val="333333"/>
          <w:sz w:val="22"/>
          <w:szCs w:val="22"/>
        </w:rPr>
        <w:t xml:space="preserve">Level 4 Units</w:t>
      </w:r>
      <w:r>
        <w:rPr>
          <w:rFonts w:ascii="Arial" w:cs="Arial" w:eastAsia="Arial" w:hAnsi="Arial"/>
          <w:color w:val="333333"/>
          <w:sz w:val="22"/>
          <w:szCs w:val="22"/>
        </w:rPr>
        <w:ptab w:alignment="right" w:relativeTo="margin" w:leader="dot"/>
        <w:t xml:space="preserve">4</w:t>
      </w:r>
    </w:p>
    <w:p>
      <w:pPr>
        <w:spacing w:after="60"/>
      </w:pPr>
      <w:r>
        <w:rPr>
          <w:rFonts w:ascii="Arial" w:cs="Arial" w:eastAsia="Arial" w:hAnsi="Arial"/>
          <w:b/>
          <w:bCs/>
          <w:color w:val="333333"/>
          <w:sz w:val="22"/>
          <w:szCs w:val="22"/>
        </w:rPr>
        <w:t xml:space="preserve">Level 4 Cyber Security Threats and Risks: Banking and Finance</w:t>
      </w:r>
      <w:r>
        <w:rPr>
          <w:rFonts w:ascii="Arial" w:cs="Arial" w:eastAsia="Arial" w:hAnsi="Arial"/>
          <w:color w:val="333333"/>
          <w:sz w:val="22"/>
          <w:szCs w:val="22"/>
        </w:rPr>
        <w:ptab w:alignment="right" w:relativeTo="margin" w:leader="dot"/>
        <w:t xml:space="preserve">6</w:t>
      </w:r>
    </w:p>
    <w:p>
      <w:pPr>
        <w:spacing w:after="60"/>
        <w:ind w:left="360"/>
      </w:pPr>
      <w:r>
        <w:rPr>
          <w:rFonts w:ascii="Arial" w:cs="Arial" w:eastAsia="Arial" w:hAnsi="Arial"/>
          <w:b w:val="false"/>
          <w:bCs w:val="false"/>
          <w:color w:val="333333"/>
          <w:sz w:val="22"/>
          <w:szCs w:val="22"/>
        </w:rPr>
        <w:t xml:space="preserve">About this unit</w:t>
      </w:r>
      <w:r>
        <w:rPr>
          <w:rFonts w:ascii="Arial" w:cs="Arial" w:eastAsia="Arial" w:hAnsi="Arial"/>
          <w:color w:val="333333"/>
          <w:sz w:val="22"/>
          <w:szCs w:val="22"/>
        </w:rPr>
        <w:ptab w:alignment="right" w:relativeTo="margin" w:leader="dot"/>
        <w:t xml:space="preserve">6</w:t>
      </w:r>
    </w:p>
    <w:p>
      <w:pPr>
        <w:spacing w:after="80"/>
      </w:pPr>
    </w:p>
    <w:p>
      <w:pPr>
        <w:spacing w:after="60"/>
      </w:pPr>
      <w:r>
        <w:rPr>
          <w:rFonts w:ascii="Arial" w:cs="Arial" w:eastAsia="Arial" w:hAnsi="Arial"/>
          <w:b/>
          <w:bCs/>
          <w:color w:val="333333"/>
          <w:sz w:val="22"/>
          <w:szCs w:val="22"/>
        </w:rPr>
        <w:t xml:space="preserve">Chapter One – Threats and Risks to Traditional and Emerging Financial Services</w:t>
      </w:r>
      <w:r>
        <w:rPr>
          <w:rFonts w:ascii="Arial" w:cs="Arial" w:eastAsia="Arial" w:hAnsi="Arial"/>
          <w:color w:val="333333"/>
          <w:sz w:val="22"/>
          <w:szCs w:val="22"/>
        </w:rPr>
        <w:ptab w:alignment="right" w:relativeTo="margin" w:leader="dot"/>
        <w:t xml:space="preserve">8</w:t>
      </w:r>
    </w:p>
    <w:p>
      <w:pPr>
        <w:spacing w:after="60"/>
        <w:ind w:left="360"/>
      </w:pPr>
      <w:r>
        <w:rPr>
          <w:rFonts w:ascii="Arial" w:cs="Arial" w:eastAsia="Arial" w:hAnsi="Arial"/>
          <w:b w:val="false"/>
          <w:bCs w:val="false"/>
          <w:color w:val="333333"/>
          <w:sz w:val="22"/>
          <w:szCs w:val="22"/>
        </w:rPr>
        <w:t xml:space="preserve">Introduction</w:t>
      </w:r>
      <w:r>
        <w:rPr>
          <w:rFonts w:ascii="Arial" w:cs="Arial" w:eastAsia="Arial" w:hAnsi="Arial"/>
          <w:color w:val="333333"/>
          <w:sz w:val="22"/>
          <w:szCs w:val="22"/>
        </w:rPr>
        <w:ptab w:alignment="right" w:relativeTo="margin" w:leader="dot"/>
        <w:t xml:space="preserve">8</w:t>
      </w:r>
    </w:p>
    <w:p>
      <w:pPr>
        <w:spacing w:after="60"/>
        <w:ind w:left="360"/>
      </w:pPr>
      <w:r>
        <w:rPr>
          <w:rFonts w:ascii="Arial" w:cs="Arial" w:eastAsia="Arial" w:hAnsi="Arial"/>
          <w:b w:val="false"/>
          <w:bCs w:val="false"/>
          <w:color w:val="333333"/>
          <w:sz w:val="22"/>
          <w:szCs w:val="22"/>
        </w:rPr>
        <w:t xml:space="preserve">1.1 Threats and risks to banking, finance and business resilience</w:t>
      </w:r>
      <w:r>
        <w:rPr>
          <w:rFonts w:ascii="Arial" w:cs="Arial" w:eastAsia="Arial" w:hAnsi="Arial"/>
          <w:color w:val="333333"/>
          <w:sz w:val="22"/>
          <w:szCs w:val="22"/>
        </w:rPr>
        <w:ptab w:alignment="right" w:relativeTo="margin" w:leader="dot"/>
        <w:t xml:space="preserve">9</w:t>
      </w:r>
    </w:p>
    <w:p>
      <w:pPr>
        <w:spacing w:after="60"/>
        <w:ind w:left="360"/>
      </w:pPr>
      <w:r>
        <w:rPr>
          <w:rFonts w:ascii="Arial" w:cs="Arial" w:eastAsia="Arial" w:hAnsi="Arial"/>
          <w:b w:val="false"/>
          <w:bCs w:val="false"/>
          <w:color w:val="333333"/>
          <w:sz w:val="22"/>
          <w:szCs w:val="22"/>
        </w:rPr>
        <w:t xml:space="preserve">Reading List</w:t>
      </w:r>
      <w:r>
        <w:rPr>
          <w:rFonts w:ascii="Arial" w:cs="Arial" w:eastAsia="Arial" w:hAnsi="Arial"/>
          <w:color w:val="333333"/>
          <w:sz w:val="22"/>
          <w:szCs w:val="22"/>
        </w:rPr>
        <w:ptab w:alignment="right" w:relativeTo="margin" w:leader="dot"/>
        <w:t xml:space="preserve">18</w:t>
      </w:r>
    </w:p>
    <w:p>
      <w:pPr>
        <w:spacing w:after="60"/>
        <w:ind w:left="360"/>
      </w:pPr>
      <w:r>
        <w:rPr>
          <w:rFonts w:ascii="Arial" w:cs="Arial" w:eastAsia="Arial" w:hAnsi="Arial"/>
          <w:b w:val="false"/>
          <w:bCs w:val="false"/>
          <w:color w:val="333333"/>
          <w:sz w:val="22"/>
          <w:szCs w:val="22"/>
        </w:rPr>
        <w:t xml:space="preserve">Summary</w:t>
      </w:r>
      <w:r>
        <w:rPr>
          <w:rFonts w:ascii="Arial" w:cs="Arial" w:eastAsia="Arial" w:hAnsi="Arial"/>
          <w:color w:val="333333"/>
          <w:sz w:val="22"/>
          <w:szCs w:val="22"/>
        </w:rPr>
        <w:ptab w:alignment="right" w:relativeTo="margin" w:leader="dot"/>
        <w:t xml:space="preserve">18</w:t>
      </w:r>
    </w:p>
    <w:p>
      <w:pPr>
        <w:spacing w:after="80"/>
      </w:pPr>
    </w:p>
    <w:p>
      <w:pPr>
        <w:spacing w:after="60"/>
      </w:pPr>
      <w:r>
        <w:rPr>
          <w:rFonts w:ascii="Arial" w:cs="Arial" w:eastAsia="Arial" w:hAnsi="Arial"/>
          <w:b/>
          <w:bCs/>
          <w:color w:val="333333"/>
          <w:sz w:val="22"/>
          <w:szCs w:val="22"/>
        </w:rPr>
        <w:t xml:space="preserve">Chapter Two – Architectural Structures of Financial Markets</w:t>
      </w:r>
      <w:r>
        <w:rPr>
          <w:rFonts w:ascii="Arial" w:cs="Arial" w:eastAsia="Arial" w:hAnsi="Arial"/>
          <w:color w:val="333333"/>
          <w:sz w:val="22"/>
          <w:szCs w:val="22"/>
        </w:rPr>
        <w:ptab w:alignment="right" w:relativeTo="margin" w:leader="dot"/>
        <w:t xml:space="preserve">19</w:t>
      </w:r>
    </w:p>
    <w:p>
      <w:pPr>
        <w:spacing w:after="60"/>
        <w:ind w:left="360"/>
      </w:pPr>
      <w:r>
        <w:rPr>
          <w:rFonts w:ascii="Arial" w:cs="Arial" w:eastAsia="Arial" w:hAnsi="Arial"/>
          <w:b w:val="false"/>
          <w:bCs w:val="false"/>
          <w:color w:val="333333"/>
          <w:sz w:val="22"/>
          <w:szCs w:val="22"/>
        </w:rPr>
        <w:t xml:space="preserve">Introduction</w:t>
      </w:r>
      <w:r>
        <w:rPr>
          <w:rFonts w:ascii="Arial" w:cs="Arial" w:eastAsia="Arial" w:hAnsi="Arial"/>
          <w:color w:val="333333"/>
          <w:sz w:val="22"/>
          <w:szCs w:val="22"/>
        </w:rPr>
        <w:ptab w:alignment="right" w:relativeTo="margin" w:leader="dot"/>
        <w:t xml:space="preserve">19</w:t>
      </w:r>
    </w:p>
    <w:p>
      <w:pPr>
        <w:spacing w:after="60"/>
        <w:ind w:left="360"/>
      </w:pPr>
      <w:r>
        <w:rPr>
          <w:rFonts w:ascii="Arial" w:cs="Arial" w:eastAsia="Arial" w:hAnsi="Arial"/>
          <w:b w:val="false"/>
          <w:bCs w:val="false"/>
          <w:color w:val="333333"/>
          <w:sz w:val="22"/>
          <w:szCs w:val="22"/>
        </w:rPr>
        <w:t xml:space="preserve">2.1 Financial supply chains for medium to large organisations</w:t>
      </w:r>
      <w:r>
        <w:rPr>
          <w:rFonts w:ascii="Arial" w:cs="Arial" w:eastAsia="Arial" w:hAnsi="Arial"/>
          <w:color w:val="333333"/>
          <w:sz w:val="22"/>
          <w:szCs w:val="22"/>
        </w:rPr>
        <w:ptab w:alignment="right" w:relativeTo="margin" w:leader="dot"/>
        <w:t xml:space="preserve">20</w:t>
      </w:r>
    </w:p>
    <w:p>
      <w:pPr>
        <w:spacing w:after="60"/>
        <w:ind w:left="360"/>
      </w:pPr>
      <w:r>
        <w:rPr>
          <w:rFonts w:ascii="Arial" w:cs="Arial" w:eastAsia="Arial" w:hAnsi="Arial"/>
          <w:b w:val="false"/>
          <w:bCs w:val="false"/>
          <w:color w:val="333333"/>
          <w:sz w:val="22"/>
          <w:szCs w:val="22"/>
        </w:rPr>
        <w:t xml:space="preserve">2.2 Architectural structure and cyber security planning</w:t>
      </w:r>
      <w:r>
        <w:rPr>
          <w:rFonts w:ascii="Arial" w:cs="Arial" w:eastAsia="Arial" w:hAnsi="Arial"/>
          <w:color w:val="333333"/>
          <w:sz w:val="22"/>
          <w:szCs w:val="22"/>
        </w:rPr>
        <w:ptab w:alignment="right" w:relativeTo="margin" w:leader="dot"/>
        <w:t xml:space="preserve">24</w:t>
      </w:r>
    </w:p>
    <w:p>
      <w:pPr>
        <w:spacing w:after="60"/>
        <w:ind w:left="360"/>
      </w:pPr>
      <w:r>
        <w:rPr>
          <w:rFonts w:ascii="Arial" w:cs="Arial" w:eastAsia="Arial" w:hAnsi="Arial"/>
          <w:b w:val="false"/>
          <w:bCs w:val="false"/>
          <w:color w:val="333333"/>
          <w:sz w:val="22"/>
          <w:szCs w:val="22"/>
        </w:rPr>
        <w:t xml:space="preserve">Reading List</w:t>
      </w:r>
      <w:r>
        <w:rPr>
          <w:rFonts w:ascii="Arial" w:cs="Arial" w:eastAsia="Arial" w:hAnsi="Arial"/>
          <w:color w:val="333333"/>
          <w:sz w:val="22"/>
          <w:szCs w:val="22"/>
        </w:rPr>
        <w:ptab w:alignment="right" w:relativeTo="margin" w:leader="dot"/>
        <w:t xml:space="preserve">29</w:t>
      </w:r>
    </w:p>
    <w:p>
      <w:pPr>
        <w:spacing w:after="60"/>
        <w:ind w:left="360"/>
      </w:pPr>
      <w:r>
        <w:rPr>
          <w:rFonts w:ascii="Arial" w:cs="Arial" w:eastAsia="Arial" w:hAnsi="Arial"/>
          <w:b w:val="false"/>
          <w:bCs w:val="false"/>
          <w:color w:val="333333"/>
          <w:sz w:val="22"/>
          <w:szCs w:val="22"/>
        </w:rPr>
        <w:t xml:space="preserve">Summary</w:t>
      </w:r>
      <w:r>
        <w:rPr>
          <w:rFonts w:ascii="Arial" w:cs="Arial" w:eastAsia="Arial" w:hAnsi="Arial"/>
          <w:color w:val="333333"/>
          <w:sz w:val="22"/>
          <w:szCs w:val="22"/>
        </w:rPr>
        <w:ptab w:alignment="right" w:relativeTo="margin" w:leader="dot"/>
        <w:t xml:space="preserve">29</w:t>
      </w:r>
    </w:p>
    <w:p>
      <w:pPr>
        <w:spacing w:after="80"/>
      </w:pPr>
    </w:p>
    <w:p>
      <w:pPr>
        <w:spacing w:after="60"/>
      </w:pPr>
      <w:r>
        <w:rPr>
          <w:rFonts w:ascii="Arial" w:cs="Arial" w:eastAsia="Arial" w:hAnsi="Arial"/>
          <w:b/>
          <w:bCs/>
          <w:color w:val="333333"/>
          <w:sz w:val="22"/>
          <w:szCs w:val="22"/>
        </w:rPr>
        <w:t xml:space="preserve">Chapter Three – Payment Systems and Financial Services Architecture</w:t>
      </w:r>
      <w:r>
        <w:rPr>
          <w:rFonts w:ascii="Arial" w:cs="Arial" w:eastAsia="Arial" w:hAnsi="Arial"/>
          <w:color w:val="333333"/>
          <w:sz w:val="22"/>
          <w:szCs w:val="22"/>
        </w:rPr>
        <w:ptab w:alignment="right" w:relativeTo="margin" w:leader="dot"/>
        <w:t xml:space="preserve">30</w:t>
      </w:r>
    </w:p>
    <w:p>
      <w:pPr>
        <w:spacing w:after="60"/>
        <w:ind w:left="360"/>
      </w:pPr>
      <w:r>
        <w:rPr>
          <w:rFonts w:ascii="Arial" w:cs="Arial" w:eastAsia="Arial" w:hAnsi="Arial"/>
          <w:b w:val="false"/>
          <w:bCs w:val="false"/>
          <w:color w:val="333333"/>
          <w:sz w:val="22"/>
          <w:szCs w:val="22"/>
        </w:rPr>
        <w:t xml:space="preserve">Introduction</w:t>
      </w:r>
      <w:r>
        <w:rPr>
          <w:rFonts w:ascii="Arial" w:cs="Arial" w:eastAsia="Arial" w:hAnsi="Arial"/>
          <w:color w:val="333333"/>
          <w:sz w:val="22"/>
          <w:szCs w:val="22"/>
        </w:rPr>
        <w:ptab w:alignment="right" w:relativeTo="margin" w:leader="dot"/>
        <w:t xml:space="preserve">30</w:t>
      </w:r>
    </w:p>
    <w:p>
      <w:pPr>
        <w:spacing w:after="60"/>
        <w:ind w:left="360"/>
      </w:pPr>
      <w:r>
        <w:rPr>
          <w:rFonts w:ascii="Arial" w:cs="Arial" w:eastAsia="Arial" w:hAnsi="Arial"/>
          <w:b w:val="false"/>
          <w:bCs w:val="false"/>
          <w:color w:val="333333"/>
          <w:sz w:val="22"/>
          <w:szCs w:val="22"/>
        </w:rPr>
        <w:t xml:space="preserve">3.1 Vulnerabilities and good practice in the payment card industry</w:t>
      </w:r>
      <w:r>
        <w:rPr>
          <w:rFonts w:ascii="Arial" w:cs="Arial" w:eastAsia="Arial" w:hAnsi="Arial"/>
          <w:color w:val="333333"/>
          <w:sz w:val="22"/>
          <w:szCs w:val="22"/>
        </w:rPr>
        <w:ptab w:alignment="right" w:relativeTo="margin" w:leader="dot"/>
        <w:t xml:space="preserve">31</w:t>
      </w:r>
    </w:p>
    <w:p>
      <w:pPr>
        <w:spacing w:after="60"/>
        <w:ind w:left="360"/>
      </w:pPr>
      <w:r>
        <w:rPr>
          <w:rFonts w:ascii="Arial" w:cs="Arial" w:eastAsia="Arial" w:hAnsi="Arial"/>
          <w:b w:val="false"/>
          <w:bCs w:val="false"/>
          <w:color w:val="333333"/>
          <w:sz w:val="22"/>
          <w:szCs w:val="22"/>
        </w:rPr>
        <w:t xml:space="preserve">3.2 Applying PCI DSS to your organisation</w:t>
      </w:r>
      <w:r>
        <w:rPr>
          <w:rFonts w:ascii="Arial" w:cs="Arial" w:eastAsia="Arial" w:hAnsi="Arial"/>
          <w:color w:val="333333"/>
          <w:sz w:val="22"/>
          <w:szCs w:val="22"/>
        </w:rPr>
        <w:ptab w:alignment="right" w:relativeTo="margin" w:leader="dot"/>
        <w:t xml:space="preserve">36</w:t>
      </w:r>
    </w:p>
    <w:p>
      <w:pPr>
        <w:spacing w:after="60"/>
        <w:ind w:left="360"/>
      </w:pPr>
      <w:r>
        <w:rPr>
          <w:rFonts w:ascii="Arial" w:cs="Arial" w:eastAsia="Arial" w:hAnsi="Arial"/>
          <w:b w:val="false"/>
          <w:bCs w:val="false"/>
          <w:color w:val="333333"/>
          <w:sz w:val="22"/>
          <w:szCs w:val="22"/>
        </w:rPr>
        <w:t xml:space="preserve">Reading List</w:t>
      </w:r>
      <w:r>
        <w:rPr>
          <w:rFonts w:ascii="Arial" w:cs="Arial" w:eastAsia="Arial" w:hAnsi="Arial"/>
          <w:color w:val="333333"/>
          <w:sz w:val="22"/>
          <w:szCs w:val="22"/>
        </w:rPr>
        <w:ptab w:alignment="right" w:relativeTo="margin" w:leader="dot"/>
        <w:t xml:space="preserve">41</w:t>
      </w:r>
    </w:p>
    <w:p>
      <w:pPr>
        <w:spacing w:after="60"/>
        <w:ind w:left="360"/>
      </w:pPr>
      <w:r>
        <w:rPr>
          <w:rFonts w:ascii="Arial" w:cs="Arial" w:eastAsia="Arial" w:hAnsi="Arial"/>
          <w:b w:val="false"/>
          <w:bCs w:val="false"/>
          <w:color w:val="333333"/>
          <w:sz w:val="22"/>
          <w:szCs w:val="22"/>
        </w:rPr>
        <w:t xml:space="preserve">Summary</w:t>
      </w:r>
      <w:r>
        <w:rPr>
          <w:rFonts w:ascii="Arial" w:cs="Arial" w:eastAsia="Arial" w:hAnsi="Arial"/>
          <w:color w:val="333333"/>
          <w:sz w:val="22"/>
          <w:szCs w:val="22"/>
        </w:rPr>
        <w:ptab w:alignment="right" w:relativeTo="margin" w:leader="dot"/>
        <w:t xml:space="preserve">41</w:t>
      </w:r>
    </w:p>
    <w:p>
      <w:pPr>
        <w:spacing w:after="80"/>
      </w:pPr>
    </w:p>
    <w:p>
      <w:pPr>
        <w:spacing w:after="60"/>
      </w:pPr>
      <w:r>
        <w:rPr>
          <w:rFonts w:ascii="Arial" w:cs="Arial" w:eastAsia="Arial" w:hAnsi="Arial"/>
          <w:b/>
          <w:bCs/>
          <w:color w:val="333333"/>
          <w:sz w:val="22"/>
          <w:szCs w:val="22"/>
        </w:rPr>
        <w:t xml:space="preserve">Chapter Four – Cryptocurrencies and Financial Services Architecture</w:t>
      </w:r>
      <w:r>
        <w:rPr>
          <w:rFonts w:ascii="Arial" w:cs="Arial" w:eastAsia="Arial" w:hAnsi="Arial"/>
          <w:color w:val="333333"/>
          <w:sz w:val="22"/>
          <w:szCs w:val="22"/>
        </w:rPr>
        <w:ptab w:alignment="right" w:relativeTo="margin" w:leader="dot"/>
        <w:t xml:space="preserve">42</w:t>
      </w:r>
    </w:p>
    <w:p>
      <w:pPr>
        <w:spacing w:after="60"/>
        <w:ind w:left="360"/>
      </w:pPr>
      <w:r>
        <w:rPr>
          <w:rFonts w:ascii="Arial" w:cs="Arial" w:eastAsia="Arial" w:hAnsi="Arial"/>
          <w:b w:val="false"/>
          <w:bCs w:val="false"/>
          <w:color w:val="333333"/>
          <w:sz w:val="22"/>
          <w:szCs w:val="22"/>
        </w:rPr>
        <w:t xml:space="preserve">Introduction</w:t>
      </w:r>
      <w:r>
        <w:rPr>
          <w:rFonts w:ascii="Arial" w:cs="Arial" w:eastAsia="Arial" w:hAnsi="Arial"/>
          <w:color w:val="333333"/>
          <w:sz w:val="22"/>
          <w:szCs w:val="22"/>
        </w:rPr>
        <w:ptab w:alignment="right" w:relativeTo="margin" w:leader="dot"/>
        <w:t xml:space="preserve">42</w:t>
      </w:r>
    </w:p>
    <w:p>
      <w:pPr>
        <w:spacing w:after="60"/>
        <w:ind w:left="360"/>
      </w:pPr>
      <w:r>
        <w:rPr>
          <w:rFonts w:ascii="Arial" w:cs="Arial" w:eastAsia="Arial" w:hAnsi="Arial"/>
          <w:b w:val="false"/>
          <w:bCs w:val="false"/>
          <w:color w:val="333333"/>
          <w:sz w:val="22"/>
          <w:szCs w:val="22"/>
        </w:rPr>
        <w:t xml:space="preserve">4.1 Emerging trends and threats from cryptocurrency attacks</w:t>
      </w:r>
      <w:r>
        <w:rPr>
          <w:rFonts w:ascii="Arial" w:cs="Arial" w:eastAsia="Arial" w:hAnsi="Arial"/>
          <w:color w:val="333333"/>
          <w:sz w:val="22"/>
          <w:szCs w:val="22"/>
        </w:rPr>
        <w:ptab w:alignment="right" w:relativeTo="margin" w:leader="dot"/>
        <w:t xml:space="preserve">43</w:t>
      </w:r>
    </w:p>
    <w:p>
      <w:pPr>
        <w:spacing w:after="60"/>
        <w:ind w:left="360"/>
      </w:pPr>
      <w:r>
        <w:rPr>
          <w:rFonts w:ascii="Arial" w:cs="Arial" w:eastAsia="Arial" w:hAnsi="Arial"/>
          <w:b w:val="false"/>
          <w:bCs w:val="false"/>
          <w:color w:val="333333"/>
          <w:sz w:val="22"/>
          <w:szCs w:val="22"/>
        </w:rPr>
        <w:t xml:space="preserve">Reading List</w:t>
      </w:r>
      <w:r>
        <w:rPr>
          <w:rFonts w:ascii="Arial" w:cs="Arial" w:eastAsia="Arial" w:hAnsi="Arial"/>
          <w:color w:val="333333"/>
          <w:sz w:val="22"/>
          <w:szCs w:val="22"/>
        </w:rPr>
        <w:ptab w:alignment="right" w:relativeTo="margin" w:leader="dot"/>
        <w:t xml:space="preserve">52</w:t>
      </w:r>
    </w:p>
    <w:p>
      <w:pPr>
        <w:spacing w:after="60"/>
        <w:ind w:left="360"/>
      </w:pPr>
      <w:r>
        <w:rPr>
          <w:rFonts w:ascii="Arial" w:cs="Arial" w:eastAsia="Arial" w:hAnsi="Arial"/>
          <w:b w:val="false"/>
          <w:bCs w:val="false"/>
          <w:color w:val="333333"/>
          <w:sz w:val="22"/>
          <w:szCs w:val="22"/>
        </w:rPr>
        <w:t xml:space="preserve">Summary</w:t>
      </w:r>
      <w:r>
        <w:rPr>
          <w:rFonts w:ascii="Arial" w:cs="Arial" w:eastAsia="Arial" w:hAnsi="Arial"/>
          <w:color w:val="333333"/>
          <w:sz w:val="22"/>
          <w:szCs w:val="22"/>
        </w:rPr>
        <w:ptab w:alignment="right" w:relativeTo="margin" w:leader="dot"/>
        <w:t xml:space="preserve">52</w:t>
      </w:r>
    </w:p>
    <w:p>
      <w:pPr>
        <w:spacing w:after="80"/>
      </w:pPr>
    </w:p>
    <w:p>
      <w:pPr>
        <w:spacing w:after="60"/>
      </w:pPr>
      <w:r>
        <w:rPr>
          <w:rFonts w:ascii="Arial" w:cs="Arial" w:eastAsia="Arial" w:hAnsi="Arial"/>
          <w:b/>
          <w:bCs/>
          <w:color w:val="333333"/>
          <w:sz w:val="22"/>
          <w:szCs w:val="22"/>
        </w:rPr>
        <w:t xml:space="preserve">Glossary</w:t>
      </w:r>
      <w:r>
        <w:rPr>
          <w:rFonts w:ascii="Arial" w:cs="Arial" w:eastAsia="Arial" w:hAnsi="Arial"/>
          <w:color w:val="333333"/>
          <w:sz w:val="22"/>
          <w:szCs w:val="22"/>
        </w:rPr>
        <w:ptab w:alignment="right" w:relativeTo="margin" w:leader="dot"/>
        <w:t xml:space="preserve">53</w:t>
      </w:r>
    </w:p>
    <w:p>
      <w:pPr>
        <w:spacing w:after="60"/>
      </w:pPr>
      <w:r>
        <w:rPr>
          <w:rFonts w:ascii="Arial" w:cs="Arial" w:eastAsia="Arial" w:hAnsi="Arial"/>
          <w:b/>
          <w:bCs/>
          <w:color w:val="333333"/>
          <w:sz w:val="22"/>
          <w:szCs w:val="22"/>
        </w:rPr>
        <w:t xml:space="preserve">MCQs and True &amp; False Questions</w:t>
      </w:r>
      <w:r>
        <w:rPr>
          <w:rFonts w:ascii="Arial" w:cs="Arial" w:eastAsia="Arial" w:hAnsi="Arial"/>
          <w:color w:val="333333"/>
          <w:sz w:val="22"/>
          <w:szCs w:val="22"/>
        </w:rPr>
        <w:ptab w:alignment="right" w:relativeTo="margin" w:leader="dot"/>
        <w:t xml:space="preserve">56</w:t>
      </w:r>
    </w:p>
    <w:p>
      <w:pPr>
        <w:spacing w:after="80"/>
      </w:pP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Using your Study Guide</w:t>
      </w:r>
    </w:p>
    <w:p>
      <w:pPr>
        <w:spacing w:after="200"/>
      </w:pPr>
      <w:r>
        <w:rPr>
          <w:rFonts w:ascii="Arial" w:cs="Arial" w:eastAsia="Arial" w:hAnsi="Arial"/>
          <w:color w:val="333333"/>
          <w:sz w:val="22"/>
          <w:szCs w:val="22"/>
        </w:rPr>
        <w:t xml:space="preserve">Welcome to the study guide, designed to support you in completing your Level 4 Diploma in Cyber Security. This study guide covers the optional unit Cyber Security Threats and Risks: Banking and Finance, which examines the unique cyber security challenges facing the financial services sector.</w:t>
      </w:r>
    </w:p>
    <w:p>
      <w:pPr>
        <w:spacing w:after="200"/>
      </w:pPr>
      <w:r>
        <w:rPr>
          <w:rFonts w:ascii="Arial" w:cs="Arial" w:eastAsia="Arial" w:hAnsi="Arial"/>
          <w:color w:val="333333"/>
          <w:sz w:val="22"/>
          <w:szCs w:val="22"/>
        </w:rPr>
        <w:t xml:space="preserve">This study guide follows the order of the syllabus, which is the basis for your studies. Each chapter starts by listing the syllabus learning outcomes covered and the assessment criteria.</w:t>
      </w:r>
    </w:p>
    <w:p>
      <w:pPr>
        <w:pStyle w:val="Heading2"/>
      </w:pPr>
      <w:r>
        <w:t xml:space="preserve">Level 4 Units</w:t>
      </w:r>
    </w:p>
    <w:p>
      <w:pPr>
        <w:spacing w:after="200"/>
      </w:pPr>
      <w:r>
        <w:rPr>
          <w:rFonts w:ascii="Arial" w:cs="Arial" w:eastAsia="Arial" w:hAnsi="Arial"/>
          <w:color w:val="333333"/>
          <w:sz w:val="22"/>
          <w:szCs w:val="22"/>
        </w:rPr>
        <w:t xml:space="preserve">The Level 4 Diploma in Cyber Security consists of the following units: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1800"/>
        <w:gridCol w:w="1726"/>
      </w:tblGrid>
      <w:tr>
        <w:tc>
          <w:tcPr>
            <w:tcW w:type="dxa" w:w="5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Unit Title</w:t>
            </w:r>
          </w:p>
        </w:tc>
        <w:tc>
          <w:tcPr>
            <w:tcW w:type="dxa" w:w="18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Credits</w:t>
            </w:r>
          </w:p>
        </w:tc>
        <w:tc>
          <w:tcPr>
            <w:tcW w:type="dxa" w:w="1726"/>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Status</w:t>
            </w:r>
          </w:p>
        </w:tc>
      </w:tr>
      <w:tr>
        <w:tc>
          <w:tcPr>
            <w:tcW w:type="dxa" w:w="5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Cyber Security Threat and Risk</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Mandatory</w:t>
            </w:r>
          </w:p>
        </w:tc>
      </w:tr>
      <w:tr>
        <w:tc>
          <w:tcPr>
            <w:tcW w:type="dxa" w:w="5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Network Security and Data Communications</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Mandatory</w:t>
            </w:r>
          </w:p>
        </w:tc>
      </w:tr>
      <w:tr>
        <w:tc>
          <w:tcPr>
            <w:tcW w:type="dxa" w:w="5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Database Security and Computer Programming</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Mandatory</w:t>
            </w:r>
          </w:p>
        </w:tc>
      </w:tr>
      <w:tr>
        <w:tc>
          <w:tcPr>
            <w:tcW w:type="dxa" w:w="5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Incident Response, Investigations and Forensics</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Mandatory</w:t>
            </w:r>
          </w:p>
        </w:tc>
      </w:tr>
      <w:tr>
        <w:tc>
          <w:tcPr>
            <w:tcW w:type="dxa" w:w="5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Security Strategy: Laws, Policies and Implementation</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Mandatory</w:t>
            </w:r>
          </w:p>
        </w:tc>
      </w:tr>
      <w:tr>
        <w:tc>
          <w:tcPr>
            <w:tcW w:type="dxa" w:w="5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Cyber Security Threats and Risk: Banking and Finance</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Optional</w:t>
            </w:r>
          </w:p>
        </w:tc>
      </w:tr>
      <w:tr>
        <w:tc>
          <w:tcPr>
            <w:tcW w:type="dxa" w:w="5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Cyber Wars</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20</w:t>
            </w:r>
          </w:p>
        </w:tc>
        <w:tc>
          <w:tcPr>
            <w:tcW w:type="dxa" w:w="17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Optional</w:t>
            </w:r>
          </w:p>
        </w:tc>
      </w:tr>
    </w:tbl>
    <w:p>
      <w:pPr>
        <w:spacing w:after="300"/>
      </w:pPr>
    </w:p>
    <w:p>
      <w:pPr>
        <w:spacing w:after="200"/>
      </w:pPr>
      <w:r>
        <w:rPr>
          <w:rFonts w:ascii="Arial" w:cs="Arial" w:eastAsia="Arial" w:hAnsi="Arial"/>
          <w:color w:val="333333"/>
          <w:sz w:val="22"/>
          <w:szCs w:val="22"/>
        </w:rPr>
        <w:t xml:space="preserve">The study guide includes a number of features to enhance your studies: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8126"/>
      </w:tblGrid>
      <w:t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sz w:val="24"/>
                <w:szCs w:val="24"/>
              </w:rPr>
              <w:t xml:space="preserve">📝</w:t>
            </w:r>
          </w:p>
        </w:tc>
        <w:tc>
          <w:tcPr>
            <w:tcW w:type="dxa" w:w="81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'Over to you:'</w:t>
            </w:r>
            <w:r>
              <w:rPr>
                <w:rFonts w:ascii="Arial" w:cs="Arial" w:eastAsia="Arial" w:hAnsi="Arial"/>
                <w:color w:val="333333"/>
                <w:sz w:val="22"/>
                <w:szCs w:val="22"/>
              </w:rPr>
              <w:t xml:space="preserve"> activities for you to apply what you have learned.</w:t>
            </w:r>
          </w:p>
        </w:tc>
      </w:tr>
      <w:t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sz w:val="24"/>
                <w:szCs w:val="24"/>
              </w:rPr>
              <w:t xml:space="preserve">🌍</w:t>
            </w:r>
          </w:p>
        </w:tc>
        <w:tc>
          <w:tcPr>
            <w:tcW w:type="dxa" w:w="81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'Industry Insights:'</w:t>
            </w:r>
            <w:r>
              <w:rPr>
                <w:rFonts w:ascii="Arial" w:cs="Arial" w:eastAsia="Arial" w:hAnsi="Arial"/>
                <w:color w:val="333333"/>
                <w:sz w:val="22"/>
                <w:szCs w:val="22"/>
              </w:rPr>
              <w:t xml:space="preserve"> discover up-to-date trends, expert opinions, and real-world examples from the financial services industry.</w:t>
            </w:r>
          </w:p>
        </w:tc>
      </w:tr>
      <w:t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sz w:val="24"/>
                <w:szCs w:val="24"/>
              </w:rPr>
              <w:t xml:space="preserve">🧭</w:t>
            </w:r>
          </w:p>
        </w:tc>
        <w:tc>
          <w:tcPr>
            <w:tcW w:type="dxa" w:w="81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'Did you know?'</w:t>
            </w:r>
            <w:r>
              <w:rPr>
                <w:rFonts w:ascii="Arial" w:cs="Arial" w:eastAsia="Arial" w:hAnsi="Arial"/>
                <w:color w:val="333333"/>
                <w:sz w:val="22"/>
                <w:szCs w:val="22"/>
              </w:rPr>
              <w:t xml:space="preserve"> highlights interesting facts or surprising information about financial cyber crime.</w:t>
            </w:r>
          </w:p>
        </w:tc>
      </w:tr>
      <w:t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sz w:val="24"/>
                <w:szCs w:val="24"/>
              </w:rPr>
              <w:t xml:space="preserve">💼</w:t>
            </w:r>
          </w:p>
        </w:tc>
        <w:tc>
          <w:tcPr>
            <w:tcW w:type="dxa" w:w="81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'Case studies:'</w:t>
            </w:r>
            <w:r>
              <w:rPr>
                <w:rFonts w:ascii="Arial" w:cs="Arial" w:eastAsia="Arial" w:hAnsi="Arial"/>
                <w:color w:val="333333"/>
                <w:sz w:val="22"/>
                <w:szCs w:val="22"/>
              </w:rPr>
              <w:t xml:space="preserve"> realistic financial services scenarios to reinforce and test your understanding.</w:t>
            </w:r>
          </w:p>
        </w:tc>
      </w:tr>
      <w:t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sz w:val="24"/>
                <w:szCs w:val="24"/>
              </w:rPr>
              <w:t xml:space="preserve">❗</w:t>
            </w:r>
          </w:p>
        </w:tc>
        <w:tc>
          <w:tcPr>
            <w:tcW w:type="dxa" w:w="81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'Need to know:'</w:t>
            </w:r>
            <w:r>
              <w:rPr>
                <w:rFonts w:ascii="Arial" w:cs="Arial" w:eastAsia="Arial" w:hAnsi="Arial"/>
                <w:color w:val="333333"/>
                <w:sz w:val="22"/>
                <w:szCs w:val="22"/>
              </w:rPr>
              <w:t xml:space="preserve"> key pieces of information highlighted in the text.</w:t>
            </w:r>
          </w:p>
        </w:tc>
      </w:tr>
      <w:t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sz w:val="24"/>
                <w:szCs w:val="24"/>
              </w:rPr>
              <w:t xml:space="preserve">💡</w:t>
            </w:r>
          </w:p>
        </w:tc>
        <w:tc>
          <w:tcPr>
            <w:tcW w:type="dxa" w:w="81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'Examples:'</w:t>
            </w:r>
            <w:r>
              <w:rPr>
                <w:rFonts w:ascii="Arial" w:cs="Arial" w:eastAsia="Arial" w:hAnsi="Arial"/>
                <w:color w:val="333333"/>
                <w:sz w:val="22"/>
                <w:szCs w:val="22"/>
              </w:rPr>
              <w:t xml:space="preserve"> illustrating points made in the text to show how they work in financial services practice.</w:t>
            </w:r>
          </w:p>
        </w:tc>
      </w:tr>
    </w:tbl>
    <w:p>
      <w:pPr>
        <w:spacing w:after="200" w:before="200"/>
      </w:pPr>
      <w:r>
        <w:rPr>
          <w:rFonts w:ascii="Arial" w:cs="Arial" w:eastAsia="Arial" w:hAnsi="Arial"/>
          <w:b/>
          <w:bCs/>
          <w:color w:val="333333"/>
          <w:sz w:val="22"/>
          <w:szCs w:val="22"/>
        </w:rPr>
        <w:t xml:space="preserve">Note: </w:t>
      </w:r>
      <w:r>
        <w:rPr>
          <w:rFonts w:ascii="Arial" w:cs="Arial" w:eastAsia="Arial" w:hAnsi="Arial"/>
          <w:color w:val="333333"/>
          <w:sz w:val="22"/>
          <w:szCs w:val="22"/>
        </w:rPr>
        <w:t xml:space="preserve">Website addresses current as of March 2026.</w:t>
      </w:r>
    </w:p>
    <w:p>
      <w:r>
        <w:br w:type="page"/>
      </w:r>
    </w:p>
    <w:p>
      <w:pPr>
        <w:pStyle w:val="Heading1"/>
      </w:pPr>
      <w:r>
        <w:t xml:space="preserve">Level 4 Cyber Security Threats and Risks: Banking and Finance</w:t>
      </w:r>
    </w:p>
    <w:p>
      <w:pPr>
        <w:pStyle w:val="Heading2"/>
      </w:pPr>
      <w:r>
        <w:t xml:space="preserve">About this unit</w:t>
      </w:r>
    </w:p>
    <w:p>
      <w:pPr>
        <w:spacing w:after="200"/>
      </w:pPr>
      <w:r>
        <w:rPr>
          <w:rFonts w:ascii="Arial" w:cs="Arial" w:eastAsia="Arial" w:hAnsi="Arial"/>
          <w:color w:val="333333"/>
          <w:sz w:val="22"/>
          <w:szCs w:val="22"/>
        </w:rPr>
        <w:t xml:space="preserve">The financial services sector is one of the most heavily targeted industries for cyber attacks. Banks, investment firms, insurance companies, payment processors, and emerging fintech platforms collectively manage trillions of pounds in assets and process billions of transactions daily. This concentration of financial data and access to monetary systems makes the sector an irresistible target for cyber criminals, nation-state actors, hacktivists, and insider threats. The consequences of a successful attack can be catastrophic – not just for the targeted institution but for the broader economy and public confidence in the financial system.</w:t>
      </w:r>
    </w:p>
    <w:p>
      <w:pPr>
        <w:spacing w:after="200"/>
      </w:pPr>
      <w:r>
        <w:rPr>
          <w:rFonts w:ascii="Arial" w:cs="Arial" w:eastAsia="Arial" w:hAnsi="Arial"/>
          <w:color w:val="333333"/>
          <w:sz w:val="22"/>
          <w:szCs w:val="22"/>
        </w:rPr>
        <w:t xml:space="preserve">In this unit you will examine the specific threats and risks facing both traditional banking and finance platforms and emerging financial technologies. You will explore the architectural structures that underpin financial markets and understand how these structures create both vulnerabilities and opportunities for security. You will assess the Payment Card Industry Data Security Standard (PCI DSS) and its application to real-world environments. Finally, you will evaluate the emerging threats from cryptocurrency-related cyber crime, examining how blockchain technology is being both exploited and protected.</w:t>
      </w:r>
    </w:p>
    <w:p>
      <w:pPr>
        <w:spacing w:after="200"/>
      </w:pPr>
      <w:r>
        <w:rPr>
          <w:rFonts w:ascii="Arial" w:cs="Arial" w:eastAsia="Arial" w:hAnsi="Arial"/>
          <w:color w:val="333333"/>
          <w:sz w:val="22"/>
          <w:szCs w:val="22"/>
        </w:rPr>
        <w:t xml:space="preserve">The unit uses detailed case studies – including the notorious TINBA (TinyBanker), Zeus, and Carbanak trojans – to illustrate how financial cyber crime operates in practice and what lessons can be drawn for defence. Throughout the unit, you will consider how traditional financial institutions, fintech disruptors, and cryptocurrency platforms can protect their infrastructure, their customers, and their supply chains from the evolving threat landscape.</w:t>
      </w:r>
    </w:p>
    <w:p>
      <w:pPr>
        <w:spacing w:after="80"/>
      </w:pPr>
      <w:r>
        <w:rPr>
          <w:rFonts w:ascii="Arial" w:cs="Arial" w:eastAsia="Arial" w:hAnsi="Arial"/>
          <w:color w:val="333333"/>
          <w:sz w:val="22"/>
          <w:szCs w:val="22"/>
        </w:rPr>
        <w:t xml:space="preserve">Unit code: </w:t>
      </w:r>
      <w:r>
        <w:rPr>
          <w:rFonts w:ascii="Arial" w:cs="Arial" w:eastAsia="Arial" w:hAnsi="Arial"/>
          <w:b/>
          <w:bCs/>
          <w:color w:val="333333"/>
          <w:sz w:val="22"/>
          <w:szCs w:val="22"/>
        </w:rPr>
        <w:t xml:space="preserve">F/617/1134</w:t>
      </w:r>
    </w:p>
    <w:p>
      <w:pPr>
        <w:spacing w:after="80"/>
      </w:pPr>
      <w:r>
        <w:rPr>
          <w:rFonts w:ascii="Arial" w:cs="Arial" w:eastAsia="Arial" w:hAnsi="Arial"/>
          <w:color w:val="333333"/>
          <w:sz w:val="22"/>
          <w:szCs w:val="22"/>
        </w:rPr>
        <w:t xml:space="preserve">RQF level: </w:t>
      </w:r>
      <w:r>
        <w:rPr>
          <w:rFonts w:ascii="Arial" w:cs="Arial" w:eastAsia="Arial" w:hAnsi="Arial"/>
          <w:b/>
          <w:bCs/>
          <w:color w:val="333333"/>
          <w:sz w:val="22"/>
          <w:szCs w:val="22"/>
        </w:rPr>
        <w:t xml:space="preserve">4</w:t>
      </w:r>
    </w:p>
    <w:p>
      <w:pPr>
        <w:spacing w:after="80"/>
      </w:pPr>
      <w:r>
        <w:rPr>
          <w:rFonts w:ascii="Arial" w:cs="Arial" w:eastAsia="Arial" w:hAnsi="Arial"/>
          <w:color w:val="333333"/>
          <w:sz w:val="22"/>
          <w:szCs w:val="22"/>
        </w:rPr>
        <w:t xml:space="preserve">Credits: </w:t>
      </w:r>
      <w:r>
        <w:rPr>
          <w:rFonts w:ascii="Arial" w:cs="Arial" w:eastAsia="Arial" w:hAnsi="Arial"/>
          <w:b/>
          <w:bCs/>
          <w:color w:val="333333"/>
          <w:sz w:val="22"/>
          <w:szCs w:val="22"/>
        </w:rPr>
        <w:t xml:space="preserve">20</w:t>
      </w:r>
    </w:p>
    <w:p>
      <w:pPr>
        <w:spacing w:after="200"/>
      </w:pPr>
      <w:r>
        <w:rPr>
          <w:rFonts w:ascii="Arial" w:cs="Arial" w:eastAsia="Arial" w:hAnsi="Arial"/>
          <w:color w:val="333333"/>
          <w:sz w:val="22"/>
          <w:szCs w:val="22"/>
        </w:rPr>
        <w:t xml:space="preserve">Assessment: </w:t>
      </w:r>
      <w:r>
        <w:rPr>
          <w:rFonts w:ascii="Arial" w:cs="Arial" w:eastAsia="Arial" w:hAnsi="Arial"/>
          <w:b/>
          <w:bCs/>
          <w:color w:val="333333"/>
          <w:sz w:val="22"/>
          <w:szCs w:val="22"/>
        </w:rPr>
        <w:t xml:space="preserve">Written Assignment – Financial Services Cyber Security Threat Assessment and Mitigation Report</w:t>
      </w:r>
    </w:p>
    <w:p>
      <w:r>
        <w:br w:type="page"/>
      </w:r>
    </w:p>
    <w:p>
      <w:pPr>
        <w:pStyle w:val="Heading1"/>
      </w:pPr>
      <w:r>
        <w:t xml:space="preserve">Chapter One – Threats and Risks to Traditional and Emerging Financial Services</w:t>
      </w:r>
    </w:p>
    <w:p>
      <w:pPr>
        <w:pStyle w:val="Heading2"/>
      </w:pPr>
      <w:r>
        <w:t xml:space="preserve">Introduction</w:t>
      </w:r>
    </w:p>
    <w:p>
      <w:pPr>
        <w:spacing w:after="200"/>
      </w:pPr>
      <w:r>
        <w:rPr>
          <w:rFonts w:ascii="Arial" w:cs="Arial" w:eastAsia="Arial" w:hAnsi="Arial"/>
          <w:color w:val="333333"/>
          <w:sz w:val="22"/>
          <w:szCs w:val="22"/>
        </w:rPr>
        <w:t xml:space="preserve">The financial services sector has always been a primary target for criminals, and the digital transformation of banking has created an entirely new attack surface. Where bank robbers once needed physical access, weapons, and getaway vehicles, modern cyber criminals can steal millions from anywhere in the world using nothing more than a laptop and an internet connection. The industrialisation of financial cyber crime – with professional criminal organisations operating sophisticated malware campaigns, social engineering operations, and money laundering networks – represents one of the most significant threats to the global economy.</w:t>
      </w:r>
    </w:p>
    <w:p>
      <w:pPr>
        <w:spacing w:after="200"/>
      </w:pPr>
      <w:r>
        <w:rPr>
          <w:rFonts w:ascii="Arial" w:cs="Arial" w:eastAsia="Arial" w:hAnsi="Arial"/>
          <w:color w:val="333333"/>
          <w:sz w:val="22"/>
          <w:szCs w:val="22"/>
        </w:rPr>
        <w:t xml:space="preserve">This chapter provides a comprehensive analysis of the threats and risks facing both traditional financial institutions (banks, building societies, insurance companies, stock exchanges) and emerging financial services (fintech, neobanks, peer-to-peer lending platforms, digital payment systems). You will examine the unique characteristics that make the financial sector such an attractive target, analyse the most significant attack vectors, and study detailed case studies of major financial cyber crime campaigns. Throughout, you will consider how these threats impact not just individual institutions but the resilience of the broader business ecosystem that depends on reliable financial infrastructure.</w:t>
      </w:r>
    </w:p>
    <w:p>
      <w:pPr>
        <w:spacing w:after="200"/>
      </w:pPr>
      <w:r>
        <w:rPr>
          <w:rFonts w:ascii="Arial" w:cs="Arial" w:eastAsia="Arial" w:hAnsi="Arial"/>
          <w:color w:val="333333"/>
          <w:sz w:val="22"/>
          <w:szCs w:val="22"/>
        </w:rPr>
        <w:t xml:space="preserve">The financial services threat landscape is characterised by its sophistication, persistence, and scale. Attackers targeting financial institutions are often highly skilled, well-resourced, and patient – willing to invest months or years in reconnaissance and preparation before launching their attacks. Understanding this threat landscape is the first step toward building effective defences.</w:t>
      </w:r>
    </w:p>
    <w:p>
      <w:pPr>
        <w:pStyle w:val="Heading2"/>
      </w:pPr>
      <w:r>
        <w:t xml:space="preserve">Learning Outcomes</w:t>
      </w:r>
    </w:p>
    <w:p>
      <w:pPr>
        <w:spacing w:after="200"/>
      </w:pPr>
      <w:r>
        <w:rPr>
          <w:rFonts w:ascii="Arial" w:cs="Arial" w:eastAsia="Arial" w:hAnsi="Arial"/>
          <w:color w:val="333333"/>
          <w:sz w:val="22"/>
          <w:szCs w:val="22"/>
        </w:rPr>
        <w:t xml:space="preserve">On completing the chapter, you will be able to:</w:t>
      </w:r>
    </w:p>
    <w:p>
      <w:pPr>
        <w:pStyle w:val="ListParagraph"/>
        <w:numPr>
          <w:ilvl w:val="0"/>
          <w:numId w:val="2"/>
        </w:numPr>
      </w:pPr>
      <w:r>
        <w:rPr>
          <w:rFonts w:ascii="Arial" w:cs="Arial" w:eastAsia="Arial" w:hAnsi="Arial"/>
          <w:b/>
          <w:bCs/>
          <w:color w:val="333333"/>
          <w:sz w:val="22"/>
          <w:szCs w:val="22"/>
        </w:rPr>
        <w:t xml:space="preserve">Understand the threats and risks facing traditional and emerging financial services.</w:t>
      </w:r>
    </w:p>
    <w:p>
      <w:pPr>
        <w:pStyle w:val="Heading2"/>
      </w:pPr>
      <w:r>
        <w:t xml:space="preserve">Assessment Criteria</w:t>
      </w:r>
    </w:p>
    <w:p>
      <w:pPr>
        <w:spacing w:after="200"/>
      </w:pPr>
      <w:r>
        <w:rPr>
          <w:rFonts w:ascii="Arial" w:cs="Arial" w:eastAsia="Arial" w:hAnsi="Arial"/>
          <w:color w:val="333333"/>
          <w:sz w:val="22"/>
          <w:szCs w:val="22"/>
        </w:rPr>
        <w:t xml:space="preserve">1.1 Analyse how threats and risks to traditional banking and finance platforms and emerging financial services impact internal business resilience.</w:t>
      </w:r>
    </w:p>
    <w:p>
      <w:pPr>
        <w:pStyle w:val="Heading2"/>
      </w:pPr>
      <w:r>
        <w:t xml:space="preserve">1.1 Threats and risks to banking, finance and business resilience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Video Watch: Financial Cyber Crime</w:t>
            </w:r>
          </w:p>
          <w:p>
            <w:pPr>
              <w:spacing w:before="80"/>
            </w:pPr>
            <w:r>
              <w:rPr>
                <w:rFonts w:ascii="Arial" w:cs="Arial" w:eastAsia="Arial" w:hAnsi="Arial"/>
                <w:color w:val="333333"/>
                <w:sz w:val="22"/>
                <w:szCs w:val="22"/>
              </w:rPr>
              <w:t xml:space="preserve">Watch these videos:</w:t>
            </w:r>
          </w:p>
          <w:p>
            <w:pPr>
              <w:spacing w:before="80"/>
            </w:pPr>
            <w:r>
              <w:rPr>
                <w:rFonts w:ascii="Arial" w:cs="Arial" w:eastAsia="Arial" w:hAnsi="Arial"/>
                <w:b/>
                <w:bCs/>
                <w:color w:val="333333"/>
                <w:sz w:val="22"/>
                <w:szCs w:val="22"/>
              </w:rPr>
              <w:t xml:space="preserve">Video 1: </w:t>
            </w:r>
            <w:r>
              <w:rPr>
                <w:rFonts w:ascii="Arial" w:cs="Arial" w:eastAsia="Arial" w:hAnsi="Arial"/>
                <w:color w:val="333333"/>
                <w:sz w:val="22"/>
                <w:szCs w:val="22"/>
              </w:rPr>
              <w:t xml:space="preserve">How Hackers Steal Millions from Banks – Bloomberg Quicktake</w:t>
            </w:r>
          </w:p>
          <w:p>
            <w:pPr>
              <w:spacing w:before="80"/>
            </w:pPr>
            <w:r>
              <w:rPr>
                <w:rFonts w:ascii="Arial" w:cs="Arial" w:eastAsia="Arial" w:hAnsi="Arial"/>
                <w:b/>
                <w:bCs/>
                <w:color w:val="333333"/>
                <w:sz w:val="22"/>
                <w:szCs w:val="22"/>
              </w:rPr>
              <w:t xml:space="preserve">Link: </w:t>
            </w:r>
            <w:r>
              <w:rPr>
                <w:rFonts w:ascii="Arial" w:cs="Arial" w:eastAsia="Arial" w:hAnsi="Arial"/>
                <w:color w:val="2E75B6"/>
                <w:sz w:val="22"/>
                <w:szCs w:val="22"/>
              </w:rPr>
              <w:t xml:space="preserve">https://www.youtube.com/watch?v=yU-sClFbKjI</w:t>
            </w:r>
          </w:p>
          <w:p>
            <w:pPr>
              <w:spacing w:before="80"/>
            </w:pPr>
            <w:r>
              <w:rPr>
                <w:rFonts w:ascii="Arial" w:cs="Arial" w:eastAsia="Arial" w:hAnsi="Arial"/>
                <w:b/>
                <w:bCs/>
                <w:color w:val="333333"/>
                <w:sz w:val="22"/>
                <w:szCs w:val="22"/>
              </w:rPr>
              <w:t xml:space="preserve">Video 2: </w:t>
            </w:r>
            <w:r>
              <w:rPr>
                <w:rFonts w:ascii="Arial" w:cs="Arial" w:eastAsia="Arial" w:hAnsi="Arial"/>
                <w:color w:val="333333"/>
                <w:sz w:val="22"/>
                <w:szCs w:val="22"/>
              </w:rPr>
              <w:t xml:space="preserve">Cybersecurity in Finance: Why Banks Are the #1 Target – IBM Technology</w:t>
            </w:r>
          </w:p>
          <w:p>
            <w:pPr>
              <w:spacing w:before="80"/>
            </w:pPr>
            <w:r>
              <w:rPr>
                <w:rFonts w:ascii="Arial" w:cs="Arial" w:eastAsia="Arial" w:hAnsi="Arial"/>
                <w:b/>
                <w:bCs/>
                <w:color w:val="333333"/>
                <w:sz w:val="22"/>
                <w:szCs w:val="22"/>
              </w:rPr>
              <w:t xml:space="preserve">Link: </w:t>
            </w:r>
            <w:r>
              <w:rPr>
                <w:rFonts w:ascii="Arial" w:cs="Arial" w:eastAsia="Arial" w:hAnsi="Arial"/>
                <w:color w:val="2E75B6"/>
                <w:sz w:val="22"/>
                <w:szCs w:val="22"/>
              </w:rPr>
              <w:t xml:space="preserve">https://www.youtube.com/watch?v=0xz28f75yyQ</w:t>
            </w:r>
          </w:p>
          <w:p>
            <w:pPr>
              <w:spacing w:before="80"/>
            </w:pPr>
            <w:r>
              <w:rPr>
                <w:rFonts w:ascii="Arial" w:cs="Arial" w:eastAsia="Arial" w:hAnsi="Arial"/>
                <w:i/>
                <w:iCs/>
                <w:color w:val="333333"/>
                <w:sz w:val="22"/>
                <w:szCs w:val="22"/>
              </w:rPr>
              <w:t xml:space="preserve">After watching, answer: (a) Why are financial institutions targeted more than other sectors? (b) What makes banking trojans particularly dangerous? (c) How has the shift to online banking changed the threat landscape? Write a 400-word analysis.</w:t>
            </w:r>
          </w:p>
        </w:tc>
      </w:tr>
    </w:tbl>
    <w:p>
      <w:pPr>
        <w:spacing w:after="200"/>
      </w:pPr>
    </w:p>
    <w:p>
      <w:pPr>
        <w:pStyle w:val="Heading3"/>
      </w:pPr>
      <w:r>
        <w:t xml:space="preserve">Why Financial Services Are the Primary Target</w:t>
      </w:r>
    </w:p>
    <w:p>
      <w:pPr>
        <w:spacing w:after="200"/>
      </w:pPr>
      <w:r>
        <w:rPr>
          <w:rFonts w:ascii="Arial" w:cs="Arial" w:eastAsia="Arial" w:hAnsi="Arial"/>
          <w:color w:val="333333"/>
          <w:sz w:val="22"/>
          <w:szCs w:val="22"/>
        </w:rPr>
        <w:t xml:space="preserve">The financial services sector is targeted disproportionately by cyber criminals for several interconnected reasons. First, the sector offers direct access to money – unlike other industries where stolen data must be monetised through secondary markets, financial services attacks can result in immediate financial gain through fraudulent transfers, payment card theft, or manipulation of trading systems. The Bank of England estimates that the UK financial sector faces tens of millions of cyber attacks annually, with the volume and sophistication of attacks growing year on year.</w:t>
      </w:r>
    </w:p>
    <w:p>
      <w:pPr>
        <w:spacing w:after="200"/>
      </w:pPr>
      <w:r>
        <w:rPr>
          <w:rFonts w:ascii="Arial" w:cs="Arial" w:eastAsia="Arial" w:hAnsi="Arial"/>
          <w:color w:val="333333"/>
          <w:sz w:val="22"/>
          <w:szCs w:val="22"/>
        </w:rPr>
        <w:t xml:space="preserve">Second, the financial sector holds enormous volumes of highly sensitive personal and financial data. Customer account details, transaction histories, credit scores, identity documents, and investment portfolios all have significant value on the dark web. A single compromised bank database can yield millions of records, each of which can be used for identity theft, account takeover fraud, or targeted social engineering attacks. Research by IBM indicates that the average cost of a data breach in the financial sector is $5.90 million, significantly above the cross-industry average of $4.45 million.</w:t>
      </w:r>
    </w:p>
    <w:p>
      <w:pPr>
        <w:spacing w:after="200"/>
      </w:pPr>
      <w:r>
        <w:rPr>
          <w:rFonts w:ascii="Arial" w:cs="Arial" w:eastAsia="Arial" w:hAnsi="Arial"/>
          <w:color w:val="333333"/>
          <w:sz w:val="22"/>
          <w:szCs w:val="22"/>
        </w:rPr>
        <w:t xml:space="preserve">Third, financial services operate complex, interconnected systems with extensive supply chains and third-party dependencies. Banks depend on payment networks (SWIFT, Visa, Mastercard), correspondent banking relationships, cloud service providers, core banking software vendors, and numerous fintech partners. Each connection represents a potential entry point for attackers. The systemic nature of financial infrastructure means that a successful attack on one institution can propagate rapidly through the system, creating cascading failures. The Bank of England has identified cyber risk as one of the key threats to UK financial stability.</w:t>
      </w:r>
    </w:p>
    <w:p>
      <w:pPr>
        <w:spacing w:after="200"/>
      </w:pPr>
      <w:r>
        <w:rPr>
          <w:rFonts w:ascii="Arial" w:cs="Arial" w:eastAsia="Arial" w:hAnsi="Arial"/>
          <w:color w:val="333333"/>
          <w:sz w:val="22"/>
          <w:szCs w:val="22"/>
        </w:rPr>
        <w:t xml:space="preserve">Fourth, the rapid pace of digital transformation in financial services has dramatically expanded the attack surface. Mobile banking applications, open banking APIs, cloud-native architectures, and real-time payment systems all create new vulnerabilities. The COVID-19 pandemic accelerated this transformation, with many banks fast-tracking digital initiatives while struggling to maintain security standards. According to research from Accenture, the financial sector experienced a 238% increase in cyber attacks during the first months of the pandemic.</w:t>
      </w:r>
    </w:p>
    <w:p>
      <w:pPr>
        <w:spacing w:after="200"/>
      </w:pPr>
      <w:r>
        <w:rPr>
          <w:rFonts w:ascii="Arial" w:cs="Arial" w:eastAsia="Arial" w:hAnsi="Arial"/>
          <w:color w:val="333333"/>
          <w:sz w:val="22"/>
          <w:szCs w:val="22"/>
        </w:rPr>
        <w:t xml:space="preserve">Fifth, financial institutions are bound by extensive regulatory requirements that create compliance complexity. While regulations like PCI DSS, UK GDPR, and FCA rules strengthen security, the complexity of maintaining compliance across multiple jurisdictions and regulatory frameworks can create gaps that attackers exploit. Regulatory penalties for breaches add to the financial impact of incidents.</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00695C" w:sz="2"/>
              <w:left w:val="single" w:color="00695C" w:sz="2"/>
              <w:bottom w:val="single" w:color="00695C" w:sz="2"/>
              <w:right w:val="single" w:color="00695C" w:sz="2"/>
            </w:tcBorders>
            <w:shd w:fill="E0F2F1" w:val="clear"/>
            <w:tcMar>
              <w:top w:type="dxa" w:w="120"/>
              <w:left w:type="dxa" w:w="180"/>
              <w:bottom w:type="dxa" w:w="120"/>
              <w:right w:type="dxa" w:w="180"/>
            </w:tcMar>
          </w:tcPr>
          <w:p>
            <w:r>
              <w:rPr>
                <w:rFonts w:ascii="Arial" w:cs="Arial" w:eastAsia="Arial" w:hAnsi="Arial"/>
                <w:b/>
                <w:bCs/>
                <w:color w:val="333333"/>
                <w:sz w:val="22"/>
                <w:szCs w:val="22"/>
              </w:rPr>
              <w:t xml:space="preserve">🧭 Did you know?</w:t>
            </w:r>
          </w:p>
          <w:p>
            <w:pPr>
              <w:spacing w:before="80"/>
            </w:pPr>
            <w:r>
              <w:rPr>
                <w:rFonts w:ascii="Arial" w:cs="Arial" w:eastAsia="Arial" w:hAnsi="Arial"/>
                <w:color w:val="333333"/>
                <w:sz w:val="22"/>
                <w:szCs w:val="22"/>
              </w:rPr>
              <w:t xml:space="preserve">The SWIFT (Society for Worldwide Interbank Financial Telecommunication) network processes approximately 42 million financial messages per day, facilitating the transfer of trillions of dollars between banks globally. In 2016, hackers used stolen SWIFT credentials to attempt to steal $951 million from Bangladesh Bank. While most of the fraudulent transfers were blocked, $81 million was successfully stolen – the largest known cyber heist at the time. The attack exposed fundamental vulnerabilities in the global banking messaging system and led to a complete overhaul of SWIFT security requirements through the Customer Security Programme.</w:t>
            </w:r>
          </w:p>
        </w:tc>
      </w:tr>
    </w:tbl>
    <w:p>
      <w:pPr>
        <w:spacing w:after="200"/>
      </w:pPr>
    </w:p>
    <w:p>
      <w:pPr>
        <w:pStyle w:val="Heading3"/>
      </w:pPr>
      <w:r>
        <w:t xml:space="preserve">Financial Sector Threat Actors</w:t>
      </w:r>
    </w:p>
    <w:p>
      <w:pPr>
        <w:spacing w:after="200"/>
      </w:pPr>
      <w:r>
        <w:rPr>
          <w:rFonts w:ascii="Arial" w:cs="Arial" w:eastAsia="Arial" w:hAnsi="Arial"/>
          <w:color w:val="333333"/>
          <w:sz w:val="22"/>
          <w:szCs w:val="22"/>
        </w:rPr>
        <w:t xml:space="preserve">The financial sector faces threats from a diverse range of actors, each with different motivations, capabilities, and methods:</w:t>
      </w:r>
    </w:p>
    <w:p>
      <w:pPr>
        <w:pStyle w:val="ListParagraph"/>
        <w:numPr>
          <w:ilvl w:val="0"/>
          <w:numId w:val="3"/>
        </w:numPr>
        <w:spacing w:after="100"/>
      </w:pPr>
      <w:r>
        <w:rPr>
          <w:rFonts w:ascii="Arial" w:cs="Arial" w:eastAsia="Arial" w:hAnsi="Arial"/>
          <w:b/>
          <w:bCs/>
          <w:color w:val="333333"/>
          <w:sz w:val="22"/>
          <w:szCs w:val="22"/>
        </w:rPr>
        <w:t xml:space="preserve">Organised cyber crime groups</w:t>
      </w:r>
      <w:r>
        <w:rPr>
          <w:rFonts w:ascii="Arial" w:cs="Arial" w:eastAsia="Arial" w:hAnsi="Arial"/>
          <w:color w:val="333333"/>
          <w:sz w:val="22"/>
          <w:szCs w:val="22"/>
        </w:rPr>
        <w:t xml:space="preserve"> – these are professional criminal enterprises that operate like businesses, with specialised roles including developers, operators, money mules, and managers. Groups such as Carbanak/FIN7, Cobalt Group, and Lazarus Group have stolen billions of dollars from financial institutions globally. These groups develop sophisticated malware, conduct extensive reconnaissance, and maintain persistent access to compromised networks for months before executing their attacks.</w:t>
      </w:r>
    </w:p>
    <w:p>
      <w:pPr>
        <w:pStyle w:val="ListParagraph"/>
        <w:numPr>
          <w:ilvl w:val="0"/>
          <w:numId w:val="3"/>
        </w:numPr>
        <w:spacing w:after="100"/>
      </w:pPr>
      <w:r>
        <w:rPr>
          <w:rFonts w:ascii="Arial" w:cs="Arial" w:eastAsia="Arial" w:hAnsi="Arial"/>
          <w:b/>
          <w:bCs/>
          <w:color w:val="333333"/>
          <w:sz w:val="22"/>
          <w:szCs w:val="22"/>
        </w:rPr>
        <w:t xml:space="preserve">Nation-state actors</w:t>
      </w:r>
      <w:r>
        <w:rPr>
          <w:rFonts w:ascii="Arial" w:cs="Arial" w:eastAsia="Arial" w:hAnsi="Arial"/>
          <w:color w:val="333333"/>
          <w:sz w:val="22"/>
          <w:szCs w:val="22"/>
        </w:rPr>
        <w:t xml:space="preserve"> – state-sponsored groups target financial institutions for intelligence gathering, economic disruption, sanctions evasion, and direct theft. North Korea’s Lazarus Group, for example, has been linked to the Bangladesh Bank heist ($81 million), the WannaCry ransomware attack, and numerous cryptocurrency exchange attacks totalling over $2 billion. Nation-state actors have the most advanced capabilities and resources.</w:t>
      </w:r>
    </w:p>
    <w:p>
      <w:pPr>
        <w:pStyle w:val="ListParagraph"/>
        <w:numPr>
          <w:ilvl w:val="0"/>
          <w:numId w:val="3"/>
        </w:numPr>
        <w:spacing w:after="100"/>
      </w:pPr>
      <w:r>
        <w:rPr>
          <w:rFonts w:ascii="Arial" w:cs="Arial" w:eastAsia="Arial" w:hAnsi="Arial"/>
          <w:b/>
          <w:bCs/>
          <w:color w:val="333333"/>
          <w:sz w:val="22"/>
          <w:szCs w:val="22"/>
        </w:rPr>
        <w:t xml:space="preserve">Hacktivists</w:t>
      </w:r>
      <w:r>
        <w:rPr>
          <w:rFonts w:ascii="Arial" w:cs="Arial" w:eastAsia="Arial" w:hAnsi="Arial"/>
          <w:color w:val="333333"/>
          <w:sz w:val="22"/>
          <w:szCs w:val="22"/>
        </w:rPr>
        <w:t xml:space="preserve"> – groups motivated by political or ideological goals may target financial institutions to protest perceived injustice, economic inequality, or corporate behaviour. DDoS attacks against banks by groups such as Anonymous and the Qassam Cyber Fighters have disrupted online banking services, though typically without causing permanent damage.</w:t>
      </w:r>
    </w:p>
    <w:p>
      <w:pPr>
        <w:pStyle w:val="ListParagraph"/>
        <w:numPr>
          <w:ilvl w:val="0"/>
          <w:numId w:val="3"/>
        </w:numPr>
        <w:spacing w:after="100"/>
      </w:pPr>
      <w:r>
        <w:rPr>
          <w:rFonts w:ascii="Arial" w:cs="Arial" w:eastAsia="Arial" w:hAnsi="Arial"/>
          <w:b/>
          <w:bCs/>
          <w:color w:val="333333"/>
          <w:sz w:val="22"/>
          <w:szCs w:val="22"/>
        </w:rPr>
        <w:t xml:space="preserve">Insider threats</w:t>
      </w:r>
      <w:r>
        <w:rPr>
          <w:rFonts w:ascii="Arial" w:cs="Arial" w:eastAsia="Arial" w:hAnsi="Arial"/>
          <w:color w:val="333333"/>
          <w:sz w:val="22"/>
          <w:szCs w:val="22"/>
        </w:rPr>
        <w:t xml:space="preserve"> – employees and contractors with privileged access to financial systems pose a significant risk. Insiders may be motivated by financial gain, revenge, or coercion. The unique regulatory environment of financial services (with know-your-customer requirements and transaction monitoring) provides some insider threat detection capability, but sophisticated insiders can evade these controls.</w:t>
      </w:r>
    </w:p>
    <w:p>
      <w:pPr>
        <w:pStyle w:val="ListParagraph"/>
        <w:numPr>
          <w:ilvl w:val="0"/>
          <w:numId w:val="3"/>
        </w:numPr>
        <w:spacing w:after="100"/>
      </w:pPr>
      <w:r>
        <w:rPr>
          <w:rFonts w:ascii="Arial" w:cs="Arial" w:eastAsia="Arial" w:hAnsi="Arial"/>
          <w:b/>
          <w:bCs/>
          <w:color w:val="333333"/>
          <w:sz w:val="22"/>
          <w:szCs w:val="22"/>
        </w:rPr>
        <w:t xml:space="preserve">Opportunistic criminals</w:t>
      </w:r>
      <w:r>
        <w:rPr>
          <w:rFonts w:ascii="Arial" w:cs="Arial" w:eastAsia="Arial" w:hAnsi="Arial"/>
          <w:color w:val="333333"/>
          <w:sz w:val="22"/>
          <w:szCs w:val="22"/>
        </w:rPr>
        <w:t xml:space="preserve"> – less sophisticated attackers who exploit commonly known vulnerabilities, phishing, and social engineering. While individually less capable than organised groups, the volume of opportunistic attacks creates a significant cumulative risk, particularly for smaller financial institutions with limited security resources.</w:t>
      </w:r>
    </w:p>
    <w:p>
      <w:pPr>
        <w:spacing w:after="200"/>
      </w:pPr>
    </w:p>
    <w:p>
      <w:pPr>
        <w:pStyle w:val="Heading3"/>
      </w:pPr>
      <w:r>
        <w:t xml:space="preserve">Key Attack Vectors in Financial Services</w:t>
      </w:r>
    </w:p>
    <w:p>
      <w:pPr>
        <w:spacing w:after="200"/>
      </w:pPr>
      <w:r>
        <w:rPr>
          <w:rFonts w:ascii="Arial" w:cs="Arial" w:eastAsia="Arial" w:hAnsi="Arial"/>
          <w:color w:val="333333"/>
          <w:sz w:val="22"/>
          <w:szCs w:val="22"/>
        </w:rPr>
        <w:t xml:space="preserve">Understanding the specific attack vectors used against financial institutions is essential for building effective defences. The principal vectors include:</w:t>
      </w:r>
    </w:p>
    <w:p>
      <w:pPr>
        <w:pStyle w:val="ListParagraph"/>
        <w:numPr>
          <w:ilvl w:val="0"/>
          <w:numId w:val="3"/>
        </w:numPr>
        <w:spacing w:after="100"/>
      </w:pPr>
      <w:r>
        <w:rPr>
          <w:rFonts w:ascii="Arial" w:cs="Arial" w:eastAsia="Arial" w:hAnsi="Arial"/>
          <w:b/>
          <w:bCs/>
          <w:color w:val="333333"/>
          <w:sz w:val="22"/>
          <w:szCs w:val="22"/>
        </w:rPr>
        <w:t xml:space="preserve">Banking trojans and malware</w:t>
      </w:r>
      <w:r>
        <w:rPr>
          <w:rFonts w:ascii="Arial" w:cs="Arial" w:eastAsia="Arial" w:hAnsi="Arial"/>
          <w:color w:val="333333"/>
          <w:sz w:val="22"/>
          <w:szCs w:val="22"/>
        </w:rPr>
        <w:t xml:space="preserve"> – specialised malware designed to steal banking credentials, manipulate online banking sessions, and intercept transaction authentication codes. Banking trojans have evolved significantly since the early days of Zeus and SpyEye, with modern variants using sophisticated evasion techniques, web injection attacks, and man-in-the-browser capabilities.</w:t>
      </w:r>
    </w:p>
    <w:p>
      <w:pPr>
        <w:pStyle w:val="ListParagraph"/>
        <w:numPr>
          <w:ilvl w:val="0"/>
          <w:numId w:val="3"/>
        </w:numPr>
        <w:spacing w:after="100"/>
      </w:pPr>
      <w:r>
        <w:rPr>
          <w:rFonts w:ascii="Arial" w:cs="Arial" w:eastAsia="Arial" w:hAnsi="Arial"/>
          <w:b/>
          <w:bCs/>
          <w:color w:val="333333"/>
          <w:sz w:val="22"/>
          <w:szCs w:val="22"/>
        </w:rPr>
        <w:t xml:space="preserve">Business Email Compromise (BEC)</w:t>
      </w:r>
      <w:r>
        <w:rPr>
          <w:rFonts w:ascii="Arial" w:cs="Arial" w:eastAsia="Arial" w:hAnsi="Arial"/>
          <w:color w:val="333333"/>
          <w:sz w:val="22"/>
          <w:szCs w:val="22"/>
        </w:rPr>
        <w:t xml:space="preserve"> – targeted social engineering attacks where criminals impersonate senior executives or trusted partners to authorise fraudulent wire transfers. BEC attacks have caused estimated global losses exceeding $43 billion since 2016. The FBI reports that BEC is the most financially damaging form of cyber crime.</w:t>
      </w:r>
    </w:p>
    <w:p>
      <w:pPr>
        <w:pStyle w:val="ListParagraph"/>
        <w:numPr>
          <w:ilvl w:val="0"/>
          <w:numId w:val="3"/>
        </w:numPr>
        <w:spacing w:after="100"/>
      </w:pPr>
      <w:r>
        <w:rPr>
          <w:rFonts w:ascii="Arial" w:cs="Arial" w:eastAsia="Arial" w:hAnsi="Arial"/>
          <w:b/>
          <w:bCs/>
          <w:color w:val="333333"/>
          <w:sz w:val="22"/>
          <w:szCs w:val="22"/>
        </w:rPr>
        <w:t xml:space="preserve">ATM and point-of-sale attacks</w:t>
      </w:r>
      <w:r>
        <w:rPr>
          <w:rFonts w:ascii="Arial" w:cs="Arial" w:eastAsia="Arial" w:hAnsi="Arial"/>
          <w:color w:val="333333"/>
          <w:sz w:val="22"/>
          <w:szCs w:val="22"/>
        </w:rPr>
        <w:t xml:space="preserve"> – including ATM jackpotting (using malware to force ATMs to dispense cash), skimming (physical devices that capture card data), and POS malware (software that captures payment card data during transactions at retail terminals).</w:t>
      </w:r>
    </w:p>
    <w:p>
      <w:pPr>
        <w:pStyle w:val="ListParagraph"/>
        <w:numPr>
          <w:ilvl w:val="0"/>
          <w:numId w:val="3"/>
        </w:numPr>
        <w:spacing w:after="100"/>
      </w:pPr>
      <w:r>
        <w:rPr>
          <w:rFonts w:ascii="Arial" w:cs="Arial" w:eastAsia="Arial" w:hAnsi="Arial"/>
          <w:b/>
          <w:bCs/>
          <w:color w:val="333333"/>
          <w:sz w:val="22"/>
          <w:szCs w:val="22"/>
        </w:rPr>
        <w:t xml:space="preserve">SWIFT and payment network attacks</w:t>
      </w:r>
      <w:r>
        <w:rPr>
          <w:rFonts w:ascii="Arial" w:cs="Arial" w:eastAsia="Arial" w:hAnsi="Arial"/>
          <w:color w:val="333333"/>
          <w:sz w:val="22"/>
          <w:szCs w:val="22"/>
        </w:rPr>
        <w:t xml:space="preserve"> – targeting the messaging systems used for interbank transfers. The Bangladesh Bank heist demonstrated that even the most trusted financial messaging systems can be compromised when endpoint security is insufficient.</w:t>
      </w:r>
    </w:p>
    <w:p>
      <w:pPr>
        <w:pStyle w:val="ListParagraph"/>
        <w:numPr>
          <w:ilvl w:val="0"/>
          <w:numId w:val="3"/>
        </w:numPr>
        <w:spacing w:after="100"/>
      </w:pPr>
      <w:r>
        <w:rPr>
          <w:rFonts w:ascii="Arial" w:cs="Arial" w:eastAsia="Arial" w:hAnsi="Arial"/>
          <w:b/>
          <w:bCs/>
          <w:color w:val="333333"/>
          <w:sz w:val="22"/>
          <w:szCs w:val="22"/>
        </w:rPr>
        <w:t xml:space="preserve">Account takeover (ATO)</w:t>
      </w:r>
      <w:r>
        <w:rPr>
          <w:rFonts w:ascii="Arial" w:cs="Arial" w:eastAsia="Arial" w:hAnsi="Arial"/>
          <w:color w:val="333333"/>
          <w:sz w:val="22"/>
          <w:szCs w:val="22"/>
        </w:rPr>
        <w:t xml:space="preserve"> – using stolen credentials (from phishing, credential stuffing, or dark web purchases) to access customer accounts and perform unauthorised transactions. ATO attacks have increased dramatically with the growth of online and mobile banking.</w:t>
      </w:r>
    </w:p>
    <w:p>
      <w:pPr>
        <w:pStyle w:val="ListParagraph"/>
        <w:numPr>
          <w:ilvl w:val="0"/>
          <w:numId w:val="3"/>
        </w:numPr>
        <w:spacing w:after="100"/>
      </w:pPr>
      <w:r>
        <w:rPr>
          <w:rFonts w:ascii="Arial" w:cs="Arial" w:eastAsia="Arial" w:hAnsi="Arial"/>
          <w:b/>
          <w:bCs/>
          <w:color w:val="333333"/>
          <w:sz w:val="22"/>
          <w:szCs w:val="22"/>
        </w:rPr>
        <w:t xml:space="preserve">Supply chain attacks</w:t>
      </w:r>
      <w:r>
        <w:rPr>
          <w:rFonts w:ascii="Arial" w:cs="Arial" w:eastAsia="Arial" w:hAnsi="Arial"/>
          <w:color w:val="333333"/>
          <w:sz w:val="22"/>
          <w:szCs w:val="22"/>
        </w:rPr>
        <w:t xml:space="preserve"> – compromising third-party vendors, software providers, or service partners to gain access to financial institutions. The SolarWinds attack affected numerous financial institutions through their use of the compromised IT management platform.</w:t>
      </w:r>
    </w:p>
    <w:p>
      <w:pPr>
        <w:pStyle w:val="ListParagraph"/>
        <w:numPr>
          <w:ilvl w:val="0"/>
          <w:numId w:val="3"/>
        </w:numPr>
        <w:spacing w:after="100"/>
      </w:pPr>
      <w:r>
        <w:rPr>
          <w:rFonts w:ascii="Arial" w:cs="Arial" w:eastAsia="Arial" w:hAnsi="Arial"/>
          <w:b/>
          <w:bCs/>
          <w:color w:val="333333"/>
          <w:sz w:val="22"/>
          <w:szCs w:val="22"/>
        </w:rPr>
        <w:t xml:space="preserve">DDoS attacks</w:t>
      </w:r>
      <w:r>
        <w:rPr>
          <w:rFonts w:ascii="Arial" w:cs="Arial" w:eastAsia="Arial" w:hAnsi="Arial"/>
          <w:color w:val="333333"/>
          <w:sz w:val="22"/>
          <w:szCs w:val="22"/>
        </w:rPr>
        <w:t xml:space="preserve"> – overwhelming online banking platforms, trading systems, or payment networks with traffic to cause denial of service. While DDoS attacks do not directly steal data, they can be used as a smokescreen for other attacks or as a form of extortion.</w:t>
      </w:r>
    </w:p>
    <w:p>
      <w:pPr>
        <w:pStyle w:val="ListParagraph"/>
        <w:numPr>
          <w:ilvl w:val="0"/>
          <w:numId w:val="3"/>
        </w:numPr>
        <w:spacing w:after="100"/>
      </w:pPr>
      <w:r>
        <w:rPr>
          <w:rFonts w:ascii="Arial" w:cs="Arial" w:eastAsia="Arial" w:hAnsi="Arial"/>
          <w:b/>
          <w:bCs/>
          <w:color w:val="333333"/>
          <w:sz w:val="22"/>
          <w:szCs w:val="22"/>
        </w:rPr>
        <w:t xml:space="preserve">API exploitation</w:t>
      </w:r>
      <w:r>
        <w:rPr>
          <w:rFonts w:ascii="Arial" w:cs="Arial" w:eastAsia="Arial" w:hAnsi="Arial"/>
          <w:color w:val="333333"/>
          <w:sz w:val="22"/>
          <w:szCs w:val="22"/>
        </w:rPr>
        <w:t xml:space="preserve"> – targeting the Application Programming Interfaces used for open banking, mobile applications, and fintech integrations. Poorly secured APIs can expose customer data, enable account manipulation, and bypass authentication controls.</w:t>
      </w:r>
    </w:p>
    <w:p>
      <w:pPr>
        <w:spacing w:after="200"/>
      </w:pPr>
    </w:p>
    <w:p>
      <w:pPr>
        <w:pStyle w:val="Heading3"/>
      </w:pPr>
      <w:r>
        <w:t xml:space="preserve">Case Studies in Banking and Finance Cyber Crime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1FA2" w:sz="2"/>
              <w:left w:val="single" w:color="7B1FA2" w:sz="2"/>
              <w:bottom w:val="single" w:color="7B1FA2" w:sz="2"/>
              <w:right w:val="single" w:color="7B1FA2" w:sz="2"/>
            </w:tcBorders>
            <w:shd w:fill="F3E5F5" w:val="clear"/>
            <w:tcMar>
              <w:top w:type="dxa" w:w="120"/>
              <w:left w:type="dxa" w:w="180"/>
              <w:bottom w:type="dxa" w:w="120"/>
              <w:right w:type="dxa" w:w="180"/>
            </w:tcMar>
          </w:tcPr>
          <w:p>
            <w:r>
              <w:rPr>
                <w:rFonts w:ascii="Arial" w:cs="Arial" w:eastAsia="Arial" w:hAnsi="Arial"/>
                <w:b/>
                <w:bCs/>
                <w:color w:val="333333"/>
                <w:sz w:val="22"/>
                <w:szCs w:val="22"/>
              </w:rPr>
              <w:t xml:space="preserve">💼 Case Study 1 – The Zeus Trojan (2007–present)</w:t>
            </w:r>
          </w:p>
          <w:p>
            <w:pPr>
              <w:spacing w:before="80"/>
            </w:pPr>
            <w:r>
              <w:rPr>
                <w:rFonts w:ascii="Arial" w:cs="Arial" w:eastAsia="Arial" w:hAnsi="Arial"/>
                <w:color w:val="333333"/>
                <w:sz w:val="22"/>
                <w:szCs w:val="22"/>
              </w:rPr>
              <w:t xml:space="preserve">Zeus (also known as Zbot) is one of the most influential and destructive banking trojans in the history of cyber crime. First identified in 2007, Zeus was designed to steal banking credentials by logging keystrokes and capturing form data from web browsers. The malware infected millions of computers worldwide, primarily through phishing emails and drive-by downloads from compromised websites.</w:t>
            </w:r>
          </w:p>
          <w:p>
            <w:pPr>
              <w:spacing w:before="80"/>
            </w:pPr>
            <w:r>
              <w:rPr>
                <w:rFonts w:ascii="Arial" w:cs="Arial" w:eastAsia="Arial" w:hAnsi="Arial"/>
                <w:color w:val="333333"/>
                <w:sz w:val="22"/>
                <w:szCs w:val="22"/>
              </w:rPr>
              <w:t xml:space="preserve">Zeus introduced several innovations that transformed financial cyber crime. Its web injection capability allowed attackers to modify the appearance of legitimate banking websites in real time, adding fake fields to capture additional information (such as PIN numbers or security questions) that the bank had not actually requested. The man-in-the-browser technique intercepted and modified transactions in real time, allowing attackers to change payment destinations and amounts while displaying the original transaction to the victim.</w:t>
            </w:r>
          </w:p>
          <w:p>
            <w:pPr>
              <w:spacing w:before="80"/>
            </w:pPr>
            <w:r>
              <w:rPr>
                <w:rFonts w:ascii="Arial" w:cs="Arial" w:eastAsia="Arial" w:hAnsi="Arial"/>
                <w:color w:val="333333"/>
                <w:sz w:val="22"/>
                <w:szCs w:val="22"/>
              </w:rPr>
              <w:t xml:space="preserve">The Zeus source code was leaked online in 2011, spawning numerous variants and descendants including Citadel, GameOver Zeus, and Terdot. This open-source proliferation meant that virtually any criminal group could create their own customised banking trojan based on Zeus technology. GameOver Zeus, operated by Russian cyber criminal Evgeniy Bogachev, infected an estimated 1 million computers and was used to steal over $100 million from banks and businesses. The FBI placed a $3 million bounty on Bogachev, the highest ever for a cyber criminal.</w:t>
            </w:r>
          </w:p>
          <w:p>
            <w:pPr>
              <w:spacing w:before="120"/>
            </w:pPr>
            <w:r>
              <w:rPr>
                <w:rFonts w:ascii="Arial" w:cs="Arial" w:eastAsia="Arial" w:hAnsi="Arial"/>
                <w:b/>
                <w:bCs/>
                <w:color w:val="333333"/>
                <w:sz w:val="22"/>
                <w:szCs w:val="22"/>
              </w:rPr>
              <w:t xml:space="preserve">Task: </w:t>
            </w:r>
            <w:r>
              <w:rPr>
                <w:rFonts w:ascii="Arial" w:cs="Arial" w:eastAsia="Arial" w:hAnsi="Arial"/>
                <w:color w:val="333333"/>
                <w:sz w:val="22"/>
                <w:szCs w:val="22"/>
              </w:rPr>
              <w:t xml:space="preserve">(1) Explain how Zeus’s web injection and man-in-the-browser techniques work and why they were so effective against traditional banking security measures. (2) Why did the leak of Zeus source code in 2011 significantly escalate the financial cyber crime threat? (3) What technical and procedural defences can banks implement to protect customers from banking trojans? (4) Research one Zeus variant (Citadel, GameOver Zeus, or Terdot) and explain how it evolved beyond the original Zeus capabilities. (5) How has multi-factor authentication evolved in response to banking trojan capabilities? Write a comprehensive 800-word analysis.</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1FA2" w:sz="2"/>
              <w:left w:val="single" w:color="7B1FA2" w:sz="2"/>
              <w:bottom w:val="single" w:color="7B1FA2" w:sz="2"/>
              <w:right w:val="single" w:color="7B1FA2" w:sz="2"/>
            </w:tcBorders>
            <w:shd w:fill="F3E5F5" w:val="clear"/>
            <w:tcMar>
              <w:top w:type="dxa" w:w="120"/>
              <w:left w:type="dxa" w:w="180"/>
              <w:bottom w:type="dxa" w:w="120"/>
              <w:right w:type="dxa" w:w="180"/>
            </w:tcMar>
          </w:tcPr>
          <w:p>
            <w:r>
              <w:rPr>
                <w:rFonts w:ascii="Arial" w:cs="Arial" w:eastAsia="Arial" w:hAnsi="Arial"/>
                <w:b/>
                <w:bCs/>
                <w:color w:val="333333"/>
                <w:sz w:val="22"/>
                <w:szCs w:val="22"/>
              </w:rPr>
              <w:t xml:space="preserve">💼 Case Study 2 – The TinyBanker Trojan (TINBA) (2012–present)</w:t>
            </w:r>
          </w:p>
          <w:p>
            <w:pPr>
              <w:spacing w:before="80"/>
            </w:pPr>
            <w:r>
              <w:rPr>
                <w:rFonts w:ascii="Arial" w:cs="Arial" w:eastAsia="Arial" w:hAnsi="Arial"/>
                <w:color w:val="333333"/>
                <w:sz w:val="22"/>
                <w:szCs w:val="22"/>
              </w:rPr>
              <w:t xml:space="preserve">TinyBanker (TINBA) earned its name from its remarkably small size – approximately 20 kilobytes, making it one of the smallest banking trojans ever discovered. Despite its tiny footprint, TINBA was extraordinarily capable, incorporating form grabbing, web injection, and man-in-the-browser functionality. Its small size made it extremely difficult to detect by traditional antivirus solutions and allowed it to spread rapidly through exploit kits and phishing campaigns.</w:t>
            </w:r>
          </w:p>
          <w:p>
            <w:pPr>
              <w:spacing w:before="80"/>
            </w:pPr>
            <w:r>
              <w:rPr>
                <w:rFonts w:ascii="Arial" w:cs="Arial" w:eastAsia="Arial" w:hAnsi="Arial"/>
                <w:color w:val="333333"/>
                <w:sz w:val="22"/>
                <w:szCs w:val="22"/>
              </w:rPr>
              <w:t xml:space="preserve">TINBA initially targeted customers of major Turkish banks but quickly expanded to attack financial institutions across Europe, the United States, and Australia. The trojan injected fraudulent content into legitimate banking websites, creating convincing fake pages that requested additional security information such as social security numbers, debit card PINs, and one-time passwords. Victims believed they were interacting with their bank’s genuine website while all their information was being captured by the malware.</w:t>
            </w:r>
          </w:p>
          <w:p>
            <w:pPr>
              <w:spacing w:before="80"/>
            </w:pPr>
            <w:r>
              <w:rPr>
                <w:rFonts w:ascii="Arial" w:cs="Arial" w:eastAsia="Arial" w:hAnsi="Arial"/>
                <w:color w:val="333333"/>
                <w:sz w:val="22"/>
                <w:szCs w:val="22"/>
              </w:rPr>
              <w:t xml:space="preserve">Like Zeus, TINBA’s source code was eventually leaked online (in 2014), enabling widespread proliferation and customisation. The leak led to a surge in TINBA variants targeting different banks and geographies, demonstrating the ‘commoditisation’ of banking malware – once source code is available, the barrier to entry for financial cyber crime drops dramatically.</w:t>
            </w:r>
          </w:p>
          <w:p>
            <w:pPr>
              <w:spacing w:before="120"/>
            </w:pPr>
            <w:r>
              <w:rPr>
                <w:rFonts w:ascii="Arial" w:cs="Arial" w:eastAsia="Arial" w:hAnsi="Arial"/>
                <w:b/>
                <w:bCs/>
                <w:color w:val="333333"/>
                <w:sz w:val="22"/>
                <w:szCs w:val="22"/>
              </w:rPr>
              <w:t xml:space="preserve">Task: </w:t>
            </w:r>
            <w:r>
              <w:rPr>
                <w:rFonts w:ascii="Arial" w:cs="Arial" w:eastAsia="Arial" w:hAnsi="Arial"/>
                <w:color w:val="333333"/>
                <w:sz w:val="22"/>
                <w:szCs w:val="22"/>
              </w:rPr>
              <w:t xml:space="preserve">(1) Why was TINBA’s small file size such a significant advantage for attackers? (2) Compare TINBA’s capabilities with Zeus – how were they similar and different? (3) What does the proliferation of leaked banking trojan source code tell us about the evolution of the cyber crime economy? (4) How should banks respond when they discover that a banking trojan is targeting their customers? Write a 600-word analysis.</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1FA2" w:sz="2"/>
              <w:left w:val="single" w:color="7B1FA2" w:sz="2"/>
              <w:bottom w:val="single" w:color="7B1FA2" w:sz="2"/>
              <w:right w:val="single" w:color="7B1FA2" w:sz="2"/>
            </w:tcBorders>
            <w:shd w:fill="F3E5F5" w:val="clear"/>
            <w:tcMar>
              <w:top w:type="dxa" w:w="120"/>
              <w:left w:type="dxa" w:w="180"/>
              <w:bottom w:type="dxa" w:w="120"/>
              <w:right w:type="dxa" w:w="180"/>
            </w:tcMar>
          </w:tcPr>
          <w:p>
            <w:r>
              <w:rPr>
                <w:rFonts w:ascii="Arial" w:cs="Arial" w:eastAsia="Arial" w:hAnsi="Arial"/>
                <w:b/>
                <w:bCs/>
                <w:color w:val="333333"/>
                <w:sz w:val="22"/>
                <w:szCs w:val="22"/>
              </w:rPr>
              <w:t xml:space="preserve">💼 Case Study 3 – The Carbanak/FIN7 Campaign (2013–2018)</w:t>
            </w:r>
          </w:p>
          <w:p>
            <w:pPr>
              <w:spacing w:before="80"/>
            </w:pPr>
            <w:r>
              <w:rPr>
                <w:rFonts w:ascii="Arial" w:cs="Arial" w:eastAsia="Arial" w:hAnsi="Arial"/>
                <w:color w:val="333333"/>
                <w:sz w:val="22"/>
                <w:szCs w:val="22"/>
              </w:rPr>
              <w:t xml:space="preserve">The Carbanak campaign represents one of the most sophisticated and lucrative financial cyber crime operations ever documented. First identified by Kaspersky Lab in 2015 (though the attacks had been underway since 2013), Carbanak targeted the banks themselves rather than their customers – a fundamental shift in financial cyber crime strategy. The attackers used spear phishing emails to infect bank employees’ computers, then spent months conducting reconnaissance inside the bank’s internal network, studying the bank’s processes and systems.</w:t>
            </w:r>
          </w:p>
          <w:p>
            <w:pPr>
              <w:spacing w:before="80"/>
            </w:pPr>
            <w:r>
              <w:rPr>
                <w:rFonts w:ascii="Arial" w:cs="Arial" w:eastAsia="Arial" w:hAnsi="Arial"/>
                <w:color w:val="333333"/>
                <w:sz w:val="22"/>
                <w:szCs w:val="22"/>
              </w:rPr>
              <w:t xml:space="preserve">Once the attackers understood how the bank operated, they used several innovative techniques to steal money. They manipulated the bank’s accounting systems to inflate account balances, then transferred the ‘excess’ funds to accounts they controlled. They programmed ATMs to dispense cash at predetermined times, with money mules waiting to collect. They even modified the SWIFT payment system to create fraudulent international transfers. The total estimated losses from Carbanak exceeded $1 billion across more than 100 financial institutions in 40 countries.</w:t>
            </w:r>
          </w:p>
          <w:p>
            <w:pPr>
              <w:spacing w:before="80"/>
            </w:pPr>
            <w:r>
              <w:rPr>
                <w:rFonts w:ascii="Arial" w:cs="Arial" w:eastAsia="Arial" w:hAnsi="Arial"/>
                <w:color w:val="333333"/>
                <w:sz w:val="22"/>
                <w:szCs w:val="22"/>
              </w:rPr>
              <w:t xml:space="preserve">The Carbanak campaign was significant because it demonstrated that attackers could operate inside banking networks for extended periods without detection, and that targeting the bank’s internal operations (rather than individual customer accounts) could yield far greater returns. The campaign’s successor, FIN7, continued to target financial institutions and businesses, eventually being partially dismantled by law enforcement with the arrest of key members in 2018.</w:t>
            </w:r>
          </w:p>
          <w:p>
            <w:pPr>
              <w:spacing w:before="120"/>
            </w:pPr>
            <w:r>
              <w:rPr>
                <w:rFonts w:ascii="Arial" w:cs="Arial" w:eastAsia="Arial" w:hAnsi="Arial"/>
                <w:b/>
                <w:bCs/>
                <w:color w:val="333333"/>
                <w:sz w:val="22"/>
                <w:szCs w:val="22"/>
              </w:rPr>
              <w:t xml:space="preserve">Task: </w:t>
            </w:r>
            <w:r>
              <w:rPr>
                <w:rFonts w:ascii="Arial" w:cs="Arial" w:eastAsia="Arial" w:hAnsi="Arial"/>
                <w:color w:val="333333"/>
                <w:sz w:val="22"/>
                <w:szCs w:val="22"/>
              </w:rPr>
              <w:t xml:space="preserve">(1) How did Carbanak’s approach differ fundamentally from traditional banking trojans like Zeus and TINBA? (2) What internal security controls failed to detect the attackers during their months-long presence inside bank networks? (3) Using the MITRE ATT&amp;CK framework, map the Carbanak attack stages. (4) What does the ‘$1 billion stolen from 100 banks’ figure tell us about the economics of financial cyber crime? (5) Research the FIN7 arrests and evaluate whether law enforcement action has been effective in deterring similar campaigns. Write a comprehensive 800-word analysis.</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32" w:sz="2"/>
              <w:left w:val="single" w:color="2E7D32" w:sz="2"/>
              <w:bottom w:val="single" w:color="2E7D32" w:sz="2"/>
              <w:right w:val="single" w:color="2E7D32" w:sz="2"/>
            </w:tcBorders>
            <w:shd w:fill="E8F5E9" w:val="clear"/>
            <w:tcMar>
              <w:top w:type="dxa" w:w="120"/>
              <w:left w:type="dxa" w:w="180"/>
              <w:bottom w:type="dxa" w:w="120"/>
              <w:right w:type="dxa" w:w="180"/>
            </w:tcMar>
          </w:tcPr>
          <w:p>
            <w:r>
              <w:rPr>
                <w:rFonts w:ascii="Arial" w:cs="Arial" w:eastAsia="Arial" w:hAnsi="Arial"/>
                <w:b/>
                <w:bCs/>
                <w:color w:val="333333"/>
                <w:sz w:val="22"/>
                <w:szCs w:val="22"/>
              </w:rPr>
              <w:t xml:space="preserve">🌍 Industry Insight – The Evolving Banking Threat Landscape</w:t>
            </w:r>
          </w:p>
          <w:p>
            <w:pPr>
              <w:spacing w:before="80"/>
            </w:pPr>
            <w:r>
              <w:rPr>
                <w:rFonts w:ascii="Arial" w:cs="Arial" w:eastAsia="Arial" w:hAnsi="Arial"/>
                <w:color w:val="333333"/>
                <w:sz w:val="22"/>
                <w:szCs w:val="22"/>
              </w:rPr>
              <w:t xml:space="preserve">The European Central Bank’s Cyber Resilience Oversight Expectations (CROE) and the Bank of England’s operational resilience framework both reflect the financial sector’s recognition that cyber threats are among the most significant risks to financial stability. The UK Financial Conduct Authority (FCA) requires regulated firms to maintain adequate systems and controls to manage their cyber risks, and has increased its focus on operational resilience testing, including threat-led penetration testing (CBEST) for the most systemically important institutions. The CBEST framework, managed by the Bank of England, simulates realistic threat actor attacks against a financial institution’s critical systems to test their detection and response capabilities under conditions that closely mirror real attacks.</w:t>
            </w:r>
          </w:p>
          <w:p>
            <w:pPr>
              <w:spacing w:before="80"/>
            </w:pPr>
            <w:r>
              <w:rPr>
                <w:rFonts w:ascii="Arial" w:cs="Arial" w:eastAsia="Arial" w:hAnsi="Arial"/>
                <w:color w:val="2E75B6"/>
                <w:sz w:val="22"/>
                <w:szCs w:val="22"/>
              </w:rPr>
              <w:t xml:space="preserve">Read more: https://www.bankofengland.co.uk/financial-stability/financial-sector-continuity</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Threat Landscape Analysis Activity</w:t>
            </w:r>
          </w:p>
          <w:p>
            <w:pPr>
              <w:spacing w:before="80"/>
            </w:pPr>
            <w:r>
              <w:rPr>
                <w:rFonts w:ascii="Arial" w:cs="Arial" w:eastAsia="Arial" w:hAnsi="Arial"/>
                <w:color w:val="333333"/>
                <w:sz w:val="22"/>
                <w:szCs w:val="22"/>
              </w:rPr>
              <w:t xml:space="preserve">You are a security consultant advising a UK building society with 500,000 customers, £5 billion in assets, and 2,000 employees. The building society offers online banking, a mobile app, and 80 physical branches. Prepare a comprehensive threat landscape analysis covering: (a) the five most significant cyber threats to this institution (ranked by likelihood and impact), (b) the threat actors most likely to target the building society, (c) specific vulnerabilities associated with each threat, (d) a risk rating for each threat using a 5×5 likelihood-impact matrix, and (e) recommended mitigation strategies for each. Present your analysis as a 1,000-word professional threat assessment report.</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Video Watch: Inside a Bank Heist</w:t>
            </w:r>
          </w:p>
          <w:p>
            <w:pPr>
              <w:spacing w:before="80"/>
            </w:pPr>
            <w:r>
              <w:rPr>
                <w:rFonts w:ascii="Arial" w:cs="Arial" w:eastAsia="Arial" w:hAnsi="Arial"/>
                <w:b/>
                <w:bCs/>
                <w:color w:val="333333"/>
                <w:sz w:val="22"/>
                <w:szCs w:val="22"/>
              </w:rPr>
              <w:t xml:space="preserve">Title: </w:t>
            </w:r>
            <w:r>
              <w:rPr>
                <w:rFonts w:ascii="Arial" w:cs="Arial" w:eastAsia="Arial" w:hAnsi="Arial"/>
                <w:color w:val="333333"/>
                <w:sz w:val="22"/>
                <w:szCs w:val="22"/>
              </w:rPr>
              <w:t xml:space="preserve">The £55 Million Cybercrime Network – BBC Click</w:t>
            </w:r>
          </w:p>
          <w:p>
            <w:pPr>
              <w:spacing w:before="80"/>
            </w:pPr>
            <w:r>
              <w:rPr>
                <w:rFonts w:ascii="Arial" w:cs="Arial" w:eastAsia="Arial" w:hAnsi="Arial"/>
                <w:b/>
                <w:bCs/>
                <w:color w:val="333333"/>
                <w:sz w:val="22"/>
                <w:szCs w:val="22"/>
              </w:rPr>
              <w:t xml:space="preserve">Link: </w:t>
            </w:r>
            <w:r>
              <w:rPr>
                <w:rFonts w:ascii="Arial" w:cs="Arial" w:eastAsia="Arial" w:hAnsi="Arial"/>
                <w:color w:val="2E75B6"/>
                <w:sz w:val="22"/>
                <w:szCs w:val="22"/>
              </w:rPr>
              <w:t xml:space="preserve">https://www.youtube.com/watch?v=5q3fQ2GMOxQ</w:t>
            </w:r>
          </w:p>
          <w:p>
            <w:pPr>
              <w:spacing w:before="80"/>
            </w:pPr>
            <w:r>
              <w:rPr>
                <w:rFonts w:ascii="Arial" w:cs="Arial" w:eastAsia="Arial" w:hAnsi="Arial"/>
                <w:i/>
                <w:iCs/>
                <w:color w:val="333333"/>
                <w:sz w:val="22"/>
                <w:szCs w:val="22"/>
              </w:rPr>
              <w:t xml:space="preserve">After watching, explain the role of money mules in financial cyber crime. Why are they essential to the criminal business model? What legal consequences do money mules face?</w:t>
            </w:r>
          </w:p>
        </w:tc>
      </w:tr>
    </w:tbl>
    <w:p>
      <w:pPr>
        <w:spacing w:after="200"/>
      </w:pPr>
    </w:p>
    <w:p>
      <w:pPr>
        <w:pStyle w:val="Heading2"/>
      </w:pPr>
      <w:r>
        <w:t xml:space="preserve">Reading List</w:t>
      </w:r>
    </w:p>
    <w:p>
      <w:pPr>
        <w:pStyle w:val="ListParagraph"/>
        <w:numPr>
          <w:ilvl w:val="0"/>
          <w:numId w:val="3"/>
        </w:numPr>
        <w:spacing w:after="80"/>
      </w:pPr>
      <w:r>
        <w:rPr>
          <w:rFonts w:ascii="Arial" w:cs="Arial" w:eastAsia="Arial" w:hAnsi="Arial"/>
          <w:color w:val="333333"/>
          <w:sz w:val="22"/>
          <w:szCs w:val="22"/>
        </w:rPr>
        <w:t xml:space="preserve">Kshetri, N. (2022) </w:t>
      </w:r>
      <w:r>
        <w:rPr>
          <w:rFonts w:ascii="Arial" w:cs="Arial" w:eastAsia="Arial" w:hAnsi="Arial"/>
          <w:i/>
          <w:iCs/>
          <w:color w:val="333333"/>
          <w:sz w:val="22"/>
          <w:szCs w:val="22"/>
        </w:rPr>
        <w:t xml:space="preserve">Cybercrime and Cybersecurity in the Global South.</w:t>
      </w:r>
      <w:r>
        <w:rPr>
          <w:rFonts w:ascii="Arial" w:cs="Arial" w:eastAsia="Arial" w:hAnsi="Arial"/>
          <w:color w:val="333333"/>
          <w:sz w:val="22"/>
          <w:szCs w:val="22"/>
        </w:rPr>
        <w:t xml:space="preserve"> Cham: Palgrave Macmillan.</w:t>
      </w:r>
    </w:p>
    <w:p>
      <w:pPr>
        <w:pStyle w:val="ListParagraph"/>
        <w:numPr>
          <w:ilvl w:val="0"/>
          <w:numId w:val="3"/>
        </w:numPr>
        <w:spacing w:after="80"/>
      </w:pPr>
      <w:r>
        <w:rPr>
          <w:rFonts w:ascii="Arial" w:cs="Arial" w:eastAsia="Arial" w:hAnsi="Arial"/>
          <w:color w:val="333333"/>
          <w:sz w:val="22"/>
          <w:szCs w:val="22"/>
        </w:rPr>
        <w:t xml:space="preserve">Bott, J. and Milkau, U. (2023) </w:t>
      </w:r>
      <w:r>
        <w:rPr>
          <w:rFonts w:ascii="Arial" w:cs="Arial" w:eastAsia="Arial" w:hAnsi="Arial"/>
          <w:i/>
          <w:iCs/>
          <w:color w:val="333333"/>
          <w:sz w:val="22"/>
          <w:szCs w:val="22"/>
        </w:rPr>
        <w:t xml:space="preserve">The Handbook of Financial Technology.</w:t>
      </w:r>
      <w:r>
        <w:rPr>
          <w:rFonts w:ascii="Arial" w:cs="Arial" w:eastAsia="Arial" w:hAnsi="Arial"/>
          <w:color w:val="333333"/>
          <w:sz w:val="22"/>
          <w:szCs w:val="22"/>
        </w:rPr>
        <w:t xml:space="preserve"> London: World Scientific Publishing.</w:t>
      </w:r>
    </w:p>
    <w:p>
      <w:pPr>
        <w:pStyle w:val="ListParagraph"/>
        <w:numPr>
          <w:ilvl w:val="0"/>
          <w:numId w:val="3"/>
        </w:numPr>
        <w:spacing w:after="80"/>
      </w:pPr>
      <w:r>
        <w:rPr>
          <w:rFonts w:ascii="Arial" w:cs="Arial" w:eastAsia="Arial" w:hAnsi="Arial"/>
          <w:color w:val="333333"/>
          <w:sz w:val="22"/>
          <w:szCs w:val="22"/>
        </w:rPr>
        <w:t xml:space="preserve">Kaspersky Lab (2023) </w:t>
      </w:r>
      <w:r>
        <w:rPr>
          <w:rFonts w:ascii="Arial" w:cs="Arial" w:eastAsia="Arial" w:hAnsi="Arial"/>
          <w:i/>
          <w:iCs/>
          <w:color w:val="333333"/>
          <w:sz w:val="22"/>
          <w:szCs w:val="22"/>
        </w:rPr>
        <w:t xml:space="preserve">Financial Threat Landscape Report 2023.</w:t>
      </w:r>
      <w:r>
        <w:rPr>
          <w:rFonts w:ascii="Arial" w:cs="Arial" w:eastAsia="Arial" w:hAnsi="Arial"/>
          <w:color w:val="333333"/>
          <w:sz w:val="22"/>
          <w:szCs w:val="22"/>
        </w:rPr>
        <w:t xml:space="preserve"> Available at: https://securelist.com/ (Accessed: 15 March 2026).</w:t>
      </w:r>
    </w:p>
    <w:p>
      <w:pPr>
        <w:pStyle w:val="ListParagraph"/>
        <w:numPr>
          <w:ilvl w:val="0"/>
          <w:numId w:val="3"/>
        </w:numPr>
        <w:spacing w:after="80"/>
      </w:pPr>
      <w:r>
        <w:rPr>
          <w:rFonts w:ascii="Arial" w:cs="Arial" w:eastAsia="Arial" w:hAnsi="Arial"/>
          <w:color w:val="333333"/>
          <w:sz w:val="22"/>
          <w:szCs w:val="22"/>
        </w:rPr>
        <w:t xml:space="preserve">Stone, B. (2022) </w:t>
      </w:r>
      <w:r>
        <w:rPr>
          <w:rFonts w:ascii="Arial" w:cs="Arial" w:eastAsia="Arial" w:hAnsi="Arial"/>
          <w:i/>
          <w:iCs/>
          <w:color w:val="333333"/>
          <w:sz w:val="22"/>
          <w:szCs w:val="22"/>
        </w:rPr>
        <w:t xml:space="preserve">Lazarus Heist: From Hollywood to High Finance – Inside North Korea’s Global Cyber War.</w:t>
      </w:r>
      <w:r>
        <w:rPr>
          <w:rFonts w:ascii="Arial" w:cs="Arial" w:eastAsia="Arial" w:hAnsi="Arial"/>
          <w:color w:val="333333"/>
          <w:sz w:val="22"/>
          <w:szCs w:val="22"/>
        </w:rPr>
        <w:t xml:space="preserve"> London: Penguin Random House.</w:t>
      </w:r>
    </w:p>
    <w:p>
      <w:pPr>
        <w:pStyle w:val="ListParagraph"/>
        <w:numPr>
          <w:ilvl w:val="0"/>
          <w:numId w:val="3"/>
        </w:numPr>
        <w:spacing w:after="80"/>
      </w:pPr>
      <w:r>
        <w:rPr>
          <w:rFonts w:ascii="Arial" w:cs="Arial" w:eastAsia="Arial" w:hAnsi="Arial"/>
          <w:color w:val="333333"/>
          <w:sz w:val="22"/>
          <w:szCs w:val="22"/>
        </w:rPr>
        <w:t xml:space="preserve">Europol (2024) </w:t>
      </w:r>
      <w:r>
        <w:rPr>
          <w:rFonts w:ascii="Arial" w:cs="Arial" w:eastAsia="Arial" w:hAnsi="Arial"/>
          <w:i/>
          <w:iCs/>
          <w:color w:val="333333"/>
          <w:sz w:val="22"/>
          <w:szCs w:val="22"/>
        </w:rPr>
        <w:t xml:space="preserve">Internet Organised Crime Threat Assessment (IOCTA) 2024.</w:t>
      </w:r>
      <w:r>
        <w:rPr>
          <w:rFonts w:ascii="Arial" w:cs="Arial" w:eastAsia="Arial" w:hAnsi="Arial"/>
          <w:color w:val="333333"/>
          <w:sz w:val="22"/>
          <w:szCs w:val="22"/>
        </w:rPr>
        <w:t xml:space="preserve"> Available at: https://www.europol.europa.eu/publications-events (Accessed: 15 March 2026).</w:t>
      </w:r>
    </w:p>
    <w:p>
      <w:pPr>
        <w:pStyle w:val="ListParagraph"/>
        <w:numPr>
          <w:ilvl w:val="0"/>
          <w:numId w:val="3"/>
        </w:numPr>
        <w:spacing w:after="80"/>
      </w:pPr>
      <w:r>
        <w:rPr>
          <w:rFonts w:ascii="Arial" w:cs="Arial" w:eastAsia="Arial" w:hAnsi="Arial"/>
          <w:color w:val="333333"/>
          <w:sz w:val="22"/>
          <w:szCs w:val="22"/>
        </w:rPr>
        <w:t xml:space="preserve">Bank of England (2024) </w:t>
      </w:r>
      <w:r>
        <w:rPr>
          <w:rFonts w:ascii="Arial" w:cs="Arial" w:eastAsia="Arial" w:hAnsi="Arial"/>
          <w:i/>
          <w:iCs/>
          <w:color w:val="333333"/>
          <w:sz w:val="22"/>
          <w:szCs w:val="22"/>
        </w:rPr>
        <w:t xml:space="preserve">Supervisory Statement SS1/21: Operational Resilience.</w:t>
      </w:r>
      <w:r>
        <w:rPr>
          <w:rFonts w:ascii="Arial" w:cs="Arial" w:eastAsia="Arial" w:hAnsi="Arial"/>
          <w:color w:val="333333"/>
          <w:sz w:val="22"/>
          <w:szCs w:val="22"/>
        </w:rPr>
        <w:t xml:space="preserve"> Available at: https://www.bankofengland.co.uk (Accessed: 15 March 2026).</w:t>
      </w:r>
    </w:p>
    <w:p>
      <w:pPr>
        <w:pStyle w:val="Heading2"/>
      </w:pPr>
      <w:r>
        <w:t xml:space="preserve">Summary</w:t>
      </w:r>
    </w:p>
    <w:p>
      <w:pPr>
        <w:spacing w:after="200"/>
      </w:pPr>
      <w:r>
        <w:rPr>
          <w:rFonts w:ascii="Arial" w:cs="Arial" w:eastAsia="Arial" w:hAnsi="Arial"/>
          <w:color w:val="333333"/>
          <w:sz w:val="22"/>
          <w:szCs w:val="22"/>
        </w:rPr>
        <w:t xml:space="preserve">In this chapter, you have analysed the threats and risks facing traditional and emerging financial services. You have examined why the financial sector is the primary target for cyber crime, studied the threat actors and attack vectors specific to financial services, and explored three detailed case studies of major financial cyber crime campaigns: Zeus, TinyBanker (TINBA), and Carbanak/FIN7. These case studies illustrated the evolution from individual customer targeting to institutional-level attacks and the commoditisation of banking malware. Understanding these threats is essential for building effective financial sector defences, which are explored in subsequent chapters.</w:t>
      </w:r>
    </w:p>
    <w:p>
      <w:r>
        <w:br w:type="page"/>
      </w:r>
    </w:p>
    <w:p>
      <w:pPr>
        <w:pStyle w:val="Heading1"/>
      </w:pPr>
      <w:r>
        <w:t xml:space="preserve">Chapter Two – Architectural Structures of Financial Markets</w:t>
      </w:r>
    </w:p>
    <w:p>
      <w:pPr>
        <w:pStyle w:val="Heading2"/>
      </w:pPr>
      <w:r>
        <w:t xml:space="preserve">Introduction</w:t>
      </w:r>
    </w:p>
    <w:p>
      <w:pPr>
        <w:spacing w:after="200"/>
      </w:pPr>
      <w:r>
        <w:rPr>
          <w:rFonts w:ascii="Arial" w:cs="Arial" w:eastAsia="Arial" w:hAnsi="Arial"/>
          <w:color w:val="333333"/>
          <w:sz w:val="22"/>
          <w:szCs w:val="22"/>
        </w:rPr>
        <w:t xml:space="preserve">This chapter examines the architectural structures that underpin traditional and emerging financial markets, and analyses how these structures relate to cyber security planning. Financial markets operate through complex, interconnected systems involving multiple participants, platforms, and communication networks. Understanding this architecture is essential for identifying vulnerabilities and designing effective security controls.</w:t>
      </w:r>
    </w:p>
    <w:p>
      <w:pPr>
        <w:pStyle w:val="Heading2"/>
      </w:pPr>
      <w:r>
        <w:t xml:space="preserve">Learning Outcomes</w:t>
      </w:r>
    </w:p>
    <w:p>
      <w:pPr>
        <w:spacing w:after="200"/>
      </w:pPr>
      <w:r>
        <w:rPr>
          <w:rFonts w:ascii="Arial" w:cs="Arial" w:eastAsia="Arial" w:hAnsi="Arial"/>
          <w:color w:val="333333"/>
          <w:sz w:val="22"/>
          <w:szCs w:val="22"/>
        </w:rPr>
        <w:t xml:space="preserve">On completing the chapter, you will be able to:</w:t>
      </w:r>
    </w:p>
    <w:p>
      <w:pPr>
        <w:pStyle w:val="ListParagraph"/>
        <w:numPr>
          <w:ilvl w:val="0"/>
          <w:numId w:val="4"/>
        </w:numPr>
      </w:pPr>
      <w:r>
        <w:rPr>
          <w:rFonts w:ascii="Arial" w:cs="Arial" w:eastAsia="Arial" w:hAnsi="Arial"/>
          <w:b/>
          <w:bCs/>
          <w:color w:val="333333"/>
          <w:sz w:val="22"/>
          <w:szCs w:val="22"/>
        </w:rPr>
        <w:t xml:space="preserve">Understand the architectural structures of traditional and emerging financial markets.</w:t>
      </w:r>
    </w:p>
    <w:p>
      <w:pPr>
        <w:pStyle w:val="Heading2"/>
      </w:pPr>
      <w:r>
        <w:t xml:space="preserve">Assessment Criteria</w:t>
      </w:r>
    </w:p>
    <w:p>
      <w:pPr>
        <w:spacing w:after="200"/>
      </w:pPr>
      <w:r>
        <w:rPr>
          <w:rFonts w:ascii="Arial" w:cs="Arial" w:eastAsia="Arial" w:hAnsi="Arial"/>
          <w:color w:val="333333"/>
          <w:sz w:val="22"/>
          <w:szCs w:val="22"/>
        </w:rPr>
        <w:t xml:space="preserve">2.1 Explain how the financial supply chains for fast-growth medium to large organisations work in financial services.</w:t>
      </w:r>
    </w:p>
    <w:p>
      <w:pPr>
        <w:spacing w:after="200"/>
      </w:pPr>
      <w:r>
        <w:rPr>
          <w:rFonts w:ascii="Arial" w:cs="Arial" w:eastAsia="Arial" w:hAnsi="Arial"/>
          <w:color w:val="333333"/>
          <w:sz w:val="22"/>
          <w:szCs w:val="22"/>
        </w:rPr>
        <w:t xml:space="preserve">2.2 Discuss how architectural structure relates to cyber security planning considerations.</w:t>
      </w:r>
    </w:p>
    <w:p>
      <w:pPr>
        <w:pStyle w:val="Heading2"/>
      </w:pPr>
      <w:r>
        <w:t xml:space="preserve">2.1 Financial supply chains for medium to large organisations</w:t>
      </w:r>
    </w:p>
    <w:p>
      <w:pPr>
        <w:spacing w:after="200"/>
      </w:pPr>
      <w:r>
        <w:rPr>
          <w:rFonts w:ascii="Arial" w:cs="Arial" w:eastAsia="Arial" w:hAnsi="Arial"/>
          <w:color w:val="333333"/>
          <w:sz w:val="22"/>
          <w:szCs w:val="22"/>
        </w:rPr>
        <w:t xml:space="preserve">Financial supply chains are the networks of institutions, systems, processes, and technologies through which money flows from one party to another. Unlike physical supply chains that move goods, financial supply chains move value – through payments, investments, lending, insurance, and trading. For medium to large organisations, these financial supply chains are complex, multi-layered, and critical to business operations.</w:t>
      </w:r>
    </w:p>
    <w:p>
      <w:pPr>
        <w:spacing w:after="200"/>
      </w:pPr>
      <w:r>
        <w:rPr>
          <w:rFonts w:ascii="Arial" w:cs="Arial" w:eastAsia="Arial" w:hAnsi="Arial"/>
          <w:color w:val="333333"/>
          <w:sz w:val="22"/>
          <w:szCs w:val="22"/>
        </w:rPr>
        <w:t xml:space="preserve">A typical enterprise financial supply chain includes: core banking systems (managing customer accounts, deposits, and loans), payment processing (handling card payments, direct debits, and real-time transfers), treasury management (managing cash positions, foreign exchange, and investments), trade finance (supporting international trade with letters of credit, guarantees, and documentary collections), settlement and clearing (reconciling and finalising transactions through clearinghouses and central securities depositories), and regulatory reporting (submitting data to financial regulators in mandated formats and timeframes).</w:t>
      </w:r>
    </w:p>
    <w:p>
      <w:pPr>
        <w:spacing w:after="200"/>
      </w:pPr>
      <w:r>
        <w:rPr>
          <w:rFonts w:ascii="Arial" w:cs="Arial" w:eastAsia="Arial" w:hAnsi="Arial"/>
          <w:color w:val="333333"/>
          <w:sz w:val="22"/>
          <w:szCs w:val="22"/>
        </w:rPr>
        <w:t xml:space="preserve">Each layer of this supply chain involves multiple participants and dependencies. A single credit card transaction, for example, passes through the merchant’s point-of-sale terminal, the acquiring bank, the card network (Visa/Mastercard), the issuing bank, and potentially several fraud detection systems – all within seconds. Each participant and each connection represents a potential vulnerability.</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5100" w:sz="2"/>
              <w:left w:val="single" w:color="E65100" w:sz="2"/>
              <w:bottom w:val="single" w:color="E65100" w:sz="2"/>
              <w:right w:val="single" w:color="E65100" w:sz="2"/>
            </w:tcBorders>
            <w:shd w:fill="FFF3E0" w:val="clear"/>
            <w:tcMar>
              <w:top w:type="dxa" w:w="120"/>
              <w:left w:type="dxa" w:w="180"/>
              <w:bottom w:type="dxa" w:w="120"/>
              <w:right w:type="dxa" w:w="180"/>
            </w:tcMar>
          </w:tcPr>
          <w:p>
            <w:r>
              <w:rPr>
                <w:rFonts w:ascii="Arial" w:cs="Arial" w:eastAsia="Arial" w:hAnsi="Arial"/>
                <w:b/>
                <w:bCs/>
                <w:color w:val="333333"/>
                <w:sz w:val="22"/>
                <w:szCs w:val="22"/>
              </w:rPr>
              <w:t xml:space="preserve">❗ Need to know – Key Financial Infrastructure Components</w:t>
            </w:r>
          </w:p>
          <w:p>
            <w:pPr>
              <w:spacing w:before="80"/>
            </w:pPr>
            <w:r>
              <w:rPr>
                <w:rFonts w:ascii="Arial" w:cs="Arial" w:eastAsia="Arial" w:hAnsi="Arial"/>
                <w:color w:val="333333"/>
                <w:sz w:val="22"/>
                <w:szCs w:val="22"/>
              </w:rPr>
              <w:t xml:space="preserve">SWIFT (Society for Worldwide Interbank Financial Telecommunication) – the global messaging network used for international bank-to-bank transfers. Over 11,000 institutions in more than 200 countries. A primary target for state-sponsored attacks.</w:t>
            </w:r>
          </w:p>
          <w:p>
            <w:pPr>
              <w:spacing w:before="80"/>
            </w:pPr>
            <w:r>
              <w:rPr>
                <w:rFonts w:ascii="Arial" w:cs="Arial" w:eastAsia="Arial" w:hAnsi="Arial"/>
                <w:color w:val="333333"/>
                <w:sz w:val="22"/>
                <w:szCs w:val="22"/>
              </w:rPr>
              <w:t xml:space="preserve">CHAPS (Clearing House Automated Payment System) – the UK’s real-time gross settlement system for high-value sterling payments. Processes approximately £400 billion daily. Operated by the Bank of England.</w:t>
            </w:r>
          </w:p>
          <w:p>
            <w:pPr>
              <w:spacing w:before="80"/>
            </w:pPr>
            <w:r>
              <w:rPr>
                <w:rFonts w:ascii="Arial" w:cs="Arial" w:eastAsia="Arial" w:hAnsi="Arial"/>
                <w:color w:val="333333"/>
                <w:sz w:val="22"/>
                <w:szCs w:val="22"/>
              </w:rPr>
              <w:t xml:space="preserve">Faster Payments Service (FPS) – the UK’s near-real-time retail payment system. Processes over 4 billion transactions per year with a current single payment limit of £1 million. Settlement within seconds.</w:t>
            </w:r>
          </w:p>
          <w:p>
            <w:pPr>
              <w:spacing w:before="80"/>
            </w:pPr>
            <w:r>
              <w:rPr>
                <w:rFonts w:ascii="Arial" w:cs="Arial" w:eastAsia="Arial" w:hAnsi="Arial"/>
                <w:color w:val="333333"/>
                <w:sz w:val="22"/>
                <w:szCs w:val="22"/>
              </w:rPr>
              <w:t xml:space="preserve">BACS (Bankers’ Automated Clearing Services) – processes UK Direct Debits and Direct Credits. Handles approximately 6.6 billion transactions per year with a three-day clearing cycle.</w:t>
            </w:r>
          </w:p>
          <w:p>
            <w:pPr>
              <w:spacing w:before="80"/>
            </w:pPr>
            <w:r>
              <w:rPr>
                <w:rFonts w:ascii="Arial" w:cs="Arial" w:eastAsia="Arial" w:hAnsi="Arial"/>
                <w:color w:val="333333"/>
                <w:sz w:val="22"/>
                <w:szCs w:val="22"/>
              </w:rPr>
              <w:t xml:space="preserve">Card networks (Visa, Mastercard, American Express) – global networks processing billions of card transactions. Each network has its own security standards and requirements.</w:t>
            </w:r>
          </w:p>
        </w:tc>
      </w:tr>
    </w:tbl>
    <w:p>
      <w:pPr>
        <w:spacing w:after="200"/>
      </w:pPr>
    </w:p>
    <w:p>
      <w:pPr>
        <w:pStyle w:val="Heading3"/>
      </w:pPr>
      <w:r>
        <w:t xml:space="preserve">Open Banking and APIs</w:t>
      </w:r>
    </w:p>
    <w:p>
      <w:pPr>
        <w:spacing w:after="200"/>
      </w:pPr>
      <w:r>
        <w:rPr>
          <w:rFonts w:ascii="Arial" w:cs="Arial" w:eastAsia="Arial" w:hAnsi="Arial"/>
          <w:color w:val="333333"/>
          <w:sz w:val="22"/>
          <w:szCs w:val="22"/>
        </w:rPr>
        <w:t xml:space="preserve">Open banking, mandated in the UK by the Competition and Markets Authority (CMA) and implemented through the Open Banking Standard, requires banks to share customer account data (with consent) through secure APIs with authorised third-party providers. While open banking has driven innovation in financial services, it has also introduced new security considerations. Each API endpoint is a potential attack vector. The Open Banking Implementation Entity (OBIE) has established security standards for API access, including strong customer authentication, OAuth 2.0 authorisation, and mutual TLS for transport security. However, the proliferation of third-party access to banking data increases the attack surface and raises questions about the security posture of smaller fintech providers that may not have the same resources as major banks.</w:t>
      </w:r>
    </w:p>
    <w:p>
      <w:pPr>
        <w:spacing w:after="200"/>
      </w:pPr>
    </w:p>
    <w:p>
      <w:pPr>
        <w:pStyle w:val="Heading2"/>
      </w:pPr>
      <w:r>
        <w:t xml:space="preserve">2.2 Architectural structure and cyber security planning</w:t>
      </w:r>
    </w:p>
    <w:p>
      <w:pPr>
        <w:spacing w:after="200"/>
      </w:pPr>
      <w:r>
        <w:rPr>
          <w:rFonts w:ascii="Arial" w:cs="Arial" w:eastAsia="Arial" w:hAnsi="Arial"/>
          <w:color w:val="333333"/>
          <w:sz w:val="22"/>
          <w:szCs w:val="22"/>
        </w:rPr>
        <w:t xml:space="preserve">The architectural structure of financial systems directly determines the security planning approach. Several key architectural concepts are critical to understanding financial services security:</w:t>
      </w:r>
    </w:p>
    <w:p>
      <w:pPr>
        <w:pStyle w:val="ListParagraph"/>
        <w:numPr>
          <w:ilvl w:val="0"/>
          <w:numId w:val="3"/>
        </w:numPr>
        <w:spacing w:after="100"/>
      </w:pPr>
      <w:r>
        <w:rPr>
          <w:rFonts w:ascii="Arial" w:cs="Arial" w:eastAsia="Arial" w:hAnsi="Arial"/>
          <w:b/>
          <w:bCs/>
          <w:color w:val="333333"/>
          <w:sz w:val="22"/>
          <w:szCs w:val="22"/>
        </w:rPr>
        <w:t xml:space="preserve">Defence in depth for financial architecture</w:t>
      </w:r>
      <w:r>
        <w:rPr>
          <w:rFonts w:ascii="Arial" w:cs="Arial" w:eastAsia="Arial" w:hAnsi="Arial"/>
          <w:color w:val="333333"/>
          <w:sz w:val="22"/>
          <w:szCs w:val="22"/>
        </w:rPr>
        <w:t xml:space="preserve"> – financial institutions implement multiple overlapping layers of security: perimeter defences (firewalls, WAFs, DDoS protection), network segmentation (isolating trading systems from customer-facing systems, separating SWIFT environments, creating secure enclaves for sensitive data), endpoint protection (EDR on all workstations, application whitelisting on critical systems), and data protection (encryption at rest and in transit, tokenisation of payment card data, database activity monitoring).</w:t>
      </w:r>
    </w:p>
    <w:p>
      <w:pPr>
        <w:pStyle w:val="ListParagraph"/>
        <w:numPr>
          <w:ilvl w:val="0"/>
          <w:numId w:val="3"/>
        </w:numPr>
        <w:spacing w:after="100"/>
      </w:pPr>
      <w:r>
        <w:rPr>
          <w:rFonts w:ascii="Arial" w:cs="Arial" w:eastAsia="Arial" w:hAnsi="Arial"/>
          <w:b/>
          <w:bCs/>
          <w:color w:val="333333"/>
          <w:sz w:val="22"/>
          <w:szCs w:val="22"/>
        </w:rPr>
        <w:t xml:space="preserve">Secure-by-design principles</w:t>
      </w:r>
      <w:r>
        <w:rPr>
          <w:rFonts w:ascii="Arial" w:cs="Arial" w:eastAsia="Arial" w:hAnsi="Arial"/>
          <w:color w:val="333333"/>
          <w:sz w:val="22"/>
          <w:szCs w:val="22"/>
        </w:rPr>
        <w:t xml:space="preserve"> – modern financial architecture is designed with security as a foundational requirement. This includes zero-trust network architectures, immutable infrastructure patterns (where systems are replaced rather than patched), automated security testing in CI/CD pipelines, and security-focused architecture reviews for all new systems and significant changes.</w:t>
      </w:r>
    </w:p>
    <w:p>
      <w:pPr>
        <w:pStyle w:val="ListParagraph"/>
        <w:numPr>
          <w:ilvl w:val="0"/>
          <w:numId w:val="3"/>
        </w:numPr>
        <w:spacing w:after="100"/>
      </w:pPr>
      <w:r>
        <w:rPr>
          <w:rFonts w:ascii="Arial" w:cs="Arial" w:eastAsia="Arial" w:hAnsi="Arial"/>
          <w:b/>
          <w:bCs/>
          <w:color w:val="333333"/>
          <w:sz w:val="22"/>
          <w:szCs w:val="22"/>
        </w:rPr>
        <w:t xml:space="preserve">Resilience architecture</w:t>
      </w:r>
      <w:r>
        <w:rPr>
          <w:rFonts w:ascii="Arial" w:cs="Arial" w:eastAsia="Arial" w:hAnsi="Arial"/>
          <w:color w:val="333333"/>
          <w:sz w:val="22"/>
          <w:szCs w:val="22"/>
        </w:rPr>
        <w:t xml:space="preserve"> – financial institutions are required to demonstrate operational resilience – the ability to continue providing critical services during disruptions. This includes active-active data centre configurations, real-time data replication, automated failover mechanisms, and geographically distributed processing capabilities.</w:t>
      </w:r>
    </w:p>
    <w:p>
      <w:pPr>
        <w:pStyle w:val="ListParagraph"/>
        <w:numPr>
          <w:ilvl w:val="0"/>
          <w:numId w:val="3"/>
        </w:numPr>
        <w:spacing w:after="100"/>
      </w:pPr>
      <w:r>
        <w:rPr>
          <w:rFonts w:ascii="Arial" w:cs="Arial" w:eastAsia="Arial" w:hAnsi="Arial"/>
          <w:b/>
          <w:bCs/>
          <w:color w:val="333333"/>
          <w:sz w:val="22"/>
          <w:szCs w:val="22"/>
        </w:rPr>
        <w:t xml:space="preserve">Third-party risk architecture</w:t>
      </w:r>
      <w:r>
        <w:rPr>
          <w:rFonts w:ascii="Arial" w:cs="Arial" w:eastAsia="Arial" w:hAnsi="Arial"/>
          <w:color w:val="333333"/>
          <w:sz w:val="22"/>
          <w:szCs w:val="22"/>
        </w:rPr>
        <w:t xml:space="preserve"> – the financial supply chain involves hundreds of third-party relationships. Security architecture must address how third parties connect to the institution’s systems, what data they can access, how their security posture is assessed, and how compromised third parties are isolated.</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1FA2" w:sz="2"/>
              <w:left w:val="single" w:color="7B1FA2" w:sz="2"/>
              <w:bottom w:val="single" w:color="7B1FA2" w:sz="2"/>
              <w:right w:val="single" w:color="7B1FA2" w:sz="2"/>
            </w:tcBorders>
            <w:shd w:fill="F3E5F5" w:val="clear"/>
            <w:tcMar>
              <w:top w:type="dxa" w:w="120"/>
              <w:left w:type="dxa" w:w="180"/>
              <w:bottom w:type="dxa" w:w="120"/>
              <w:right w:type="dxa" w:w="180"/>
            </w:tcMar>
          </w:tcPr>
          <w:p>
            <w:r>
              <w:rPr>
                <w:rFonts w:ascii="Arial" w:cs="Arial" w:eastAsia="Arial" w:hAnsi="Arial"/>
                <w:b/>
                <w:bCs/>
                <w:color w:val="333333"/>
                <w:sz w:val="22"/>
                <w:szCs w:val="22"/>
              </w:rPr>
              <w:t xml:space="preserve">💼 Case Study – The Bangladesh Bank SWIFT Heist (2016)</w:t>
            </w:r>
          </w:p>
          <w:p>
            <w:pPr>
              <w:spacing w:before="80"/>
            </w:pPr>
            <w:r>
              <w:rPr>
                <w:rFonts w:ascii="Arial" w:cs="Arial" w:eastAsia="Arial" w:hAnsi="Arial"/>
                <w:color w:val="333333"/>
                <w:sz w:val="22"/>
                <w:szCs w:val="22"/>
              </w:rPr>
              <w:t xml:space="preserve">In February 2016, hackers infiltrated Bangladesh Bank’s systems and used authenticated SWIFT credentials to submit 35 fraudulent transfer requests totalling $951 million to the Federal Reserve Bank of New York. The attackers had spent months inside Bangladesh Bank’s network, studying SWIFT operations and installing custom malware to manipulate the SWIFT messaging software and suppress confirmation messages. The attack was only partially thwarted because a routing bank in Germany flagged one of the transfers due to a misspelling of ‘fandation’ (instead of ‘foundation’) in a beneficiary name. Five transfers totalling $101 million passed through, of which $81 million was successfully laundered through Philippine casinos.</w:t>
            </w:r>
          </w:p>
          <w:p>
            <w:pPr>
              <w:spacing w:before="80"/>
            </w:pPr>
            <w:r>
              <w:rPr>
                <w:rFonts w:ascii="Arial" w:cs="Arial" w:eastAsia="Arial" w:hAnsi="Arial"/>
                <w:color w:val="333333"/>
                <w:sz w:val="22"/>
                <w:szCs w:val="22"/>
              </w:rPr>
              <w:t xml:space="preserve">The heist revealed critical architectural weaknesses: Bangladesh Bank used a $10 second-hand switch with no firewall to connect its SWIFT terminal to the bank’s network. There was no network segmentation between the SWIFT environment and the general bank network. The bank did not employ multi-factor authentication for SWIFT access. These fundamental architectural failures enabled the compromise.</w:t>
            </w:r>
          </w:p>
          <w:p>
            <w:pPr>
              <w:spacing w:before="120"/>
            </w:pPr>
            <w:r>
              <w:rPr>
                <w:rFonts w:ascii="Arial" w:cs="Arial" w:eastAsia="Arial" w:hAnsi="Arial"/>
                <w:b/>
                <w:bCs/>
                <w:color w:val="333333"/>
                <w:sz w:val="22"/>
                <w:szCs w:val="22"/>
              </w:rPr>
              <w:t xml:space="preserve">Task: </w:t>
            </w:r>
            <w:r>
              <w:rPr>
                <w:rFonts w:ascii="Arial" w:cs="Arial" w:eastAsia="Arial" w:hAnsi="Arial"/>
                <w:color w:val="333333"/>
                <w:sz w:val="22"/>
                <w:szCs w:val="22"/>
              </w:rPr>
              <w:t xml:space="preserve">(1) Draw a network diagram showing the attack path from initial compromise to fraudulent SWIFT messages. (2) What specific architectural controls would have prevented or detected this attack? (3) How has SWIFT’s Customer Security Programme (CSP) addressed the vulnerabilities exposed by this attack? (4) What does this case teach us about the relationship between IT investment and security in developing economies? Write a 700-word analysis.</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Financial Architecture Mapping Activity</w:t>
            </w:r>
          </w:p>
          <w:p>
            <w:pPr>
              <w:spacing w:before="80"/>
            </w:pPr>
            <w:r>
              <w:rPr>
                <w:rFonts w:ascii="Arial" w:cs="Arial" w:eastAsia="Arial" w:hAnsi="Arial"/>
                <w:color w:val="333333"/>
                <w:sz w:val="22"/>
                <w:szCs w:val="22"/>
              </w:rPr>
              <w:t xml:space="preserve">Create a detailed architectural diagram of the financial supply chain for a UK online-only neobank. Include: (a) customer-facing systems (mobile app, web portal, open banking APIs), (b) core banking systems, (c) payment processing (card processing, FPS, BACS, CHAPS), (d) third-party integrations (credit reference agencies, identity verification, anti-money laundering systems), (e) regulatory reporting systems, and (f) cloud infrastructure components. For each component, identify at least one security control and one potential vulnerability. Use draw.io or a similar tool.</w:t>
            </w:r>
          </w:p>
        </w:tc>
      </w:tr>
    </w:tbl>
    <w:p>
      <w:pPr>
        <w:spacing w:after="200"/>
      </w:pPr>
    </w:p>
    <w:p>
      <w:pPr>
        <w:pStyle w:val="Heading2"/>
      </w:pPr>
      <w:r>
        <w:t xml:space="preserve">Reading List</w:t>
      </w:r>
    </w:p>
    <w:p>
      <w:pPr>
        <w:pStyle w:val="ListParagraph"/>
        <w:numPr>
          <w:ilvl w:val="0"/>
          <w:numId w:val="3"/>
        </w:numPr>
        <w:spacing w:after="80"/>
      </w:pPr>
      <w:r>
        <w:rPr>
          <w:rFonts w:ascii="Arial" w:cs="Arial" w:eastAsia="Arial" w:hAnsi="Arial"/>
          <w:color w:val="333333"/>
          <w:sz w:val="22"/>
          <w:szCs w:val="22"/>
        </w:rPr>
        <w:t xml:space="preserve">Sood, A.K. and Enbody, R.J. (2022) </w:t>
      </w:r>
      <w:r>
        <w:rPr>
          <w:rFonts w:ascii="Arial" w:cs="Arial" w:eastAsia="Arial" w:hAnsi="Arial"/>
          <w:i/>
          <w:iCs/>
          <w:color w:val="333333"/>
          <w:sz w:val="22"/>
          <w:szCs w:val="22"/>
        </w:rPr>
        <w:t xml:space="preserve">Targeted Cyber Attacks: Multi-Staged Attacks Driven by Exploits and Malware.</w:t>
      </w:r>
      <w:r>
        <w:rPr>
          <w:rFonts w:ascii="Arial" w:cs="Arial" w:eastAsia="Arial" w:hAnsi="Arial"/>
          <w:color w:val="333333"/>
          <w:sz w:val="22"/>
          <w:szCs w:val="22"/>
        </w:rPr>
        <w:t xml:space="preserve"> 2nd edn. Waltham, MA: Syngress.</w:t>
      </w:r>
    </w:p>
    <w:p>
      <w:pPr>
        <w:pStyle w:val="ListParagraph"/>
        <w:numPr>
          <w:ilvl w:val="0"/>
          <w:numId w:val="3"/>
        </w:numPr>
        <w:spacing w:after="80"/>
      </w:pPr>
      <w:r>
        <w:rPr>
          <w:rFonts w:ascii="Arial" w:cs="Arial" w:eastAsia="Arial" w:hAnsi="Arial"/>
          <w:color w:val="333333"/>
          <w:sz w:val="22"/>
          <w:szCs w:val="22"/>
        </w:rPr>
        <w:t xml:space="preserve">SWIFT (2024) </w:t>
      </w:r>
      <w:r>
        <w:rPr>
          <w:rFonts w:ascii="Arial" w:cs="Arial" w:eastAsia="Arial" w:hAnsi="Arial"/>
          <w:i/>
          <w:iCs/>
          <w:color w:val="333333"/>
          <w:sz w:val="22"/>
          <w:szCs w:val="22"/>
        </w:rPr>
        <w:t xml:space="preserve">Customer Security Programme: Security Controls Framework.</w:t>
      </w:r>
      <w:r>
        <w:rPr>
          <w:rFonts w:ascii="Arial" w:cs="Arial" w:eastAsia="Arial" w:hAnsi="Arial"/>
          <w:color w:val="333333"/>
          <w:sz w:val="22"/>
          <w:szCs w:val="22"/>
        </w:rPr>
        <w:t xml:space="preserve"> Available at: https://www.swift.com/myswift/customer-security-programme-csp (Accessed: 15 March 2026).</w:t>
      </w:r>
    </w:p>
    <w:p>
      <w:pPr>
        <w:pStyle w:val="ListParagraph"/>
        <w:numPr>
          <w:ilvl w:val="0"/>
          <w:numId w:val="3"/>
        </w:numPr>
        <w:spacing w:after="80"/>
      </w:pPr>
      <w:r>
        <w:rPr>
          <w:rFonts w:ascii="Arial" w:cs="Arial" w:eastAsia="Arial" w:hAnsi="Arial"/>
          <w:color w:val="333333"/>
          <w:sz w:val="22"/>
          <w:szCs w:val="22"/>
        </w:rPr>
        <w:t xml:space="preserve">Ali, R. and Barrdear, J. (2023) </w:t>
      </w:r>
      <w:r>
        <w:rPr>
          <w:rFonts w:ascii="Arial" w:cs="Arial" w:eastAsia="Arial" w:hAnsi="Arial"/>
          <w:i/>
          <w:iCs/>
          <w:color w:val="333333"/>
          <w:sz w:val="22"/>
          <w:szCs w:val="22"/>
        </w:rPr>
        <w:t xml:space="preserve">The Economics of Fintech and Digital Currencies.</w:t>
      </w:r>
      <w:r>
        <w:rPr>
          <w:rFonts w:ascii="Arial" w:cs="Arial" w:eastAsia="Arial" w:hAnsi="Arial"/>
          <w:color w:val="333333"/>
          <w:sz w:val="22"/>
          <w:szCs w:val="22"/>
        </w:rPr>
        <w:t xml:space="preserve"> London: CEPR Press.</w:t>
      </w:r>
    </w:p>
    <w:p>
      <w:pPr>
        <w:pStyle w:val="ListParagraph"/>
        <w:numPr>
          <w:ilvl w:val="0"/>
          <w:numId w:val="3"/>
        </w:numPr>
        <w:spacing w:after="80"/>
      </w:pPr>
      <w:r>
        <w:rPr>
          <w:rFonts w:ascii="Arial" w:cs="Arial" w:eastAsia="Arial" w:hAnsi="Arial"/>
          <w:color w:val="333333"/>
          <w:sz w:val="22"/>
          <w:szCs w:val="22"/>
        </w:rPr>
        <w:t xml:space="preserve">Open Banking Implementation Entity (2024) </w:t>
      </w:r>
      <w:r>
        <w:rPr>
          <w:rFonts w:ascii="Arial" w:cs="Arial" w:eastAsia="Arial" w:hAnsi="Arial"/>
          <w:i/>
          <w:iCs/>
          <w:color w:val="333333"/>
          <w:sz w:val="22"/>
          <w:szCs w:val="22"/>
        </w:rPr>
        <w:t xml:space="preserve">Open Banking Security Profile.</w:t>
      </w:r>
      <w:r>
        <w:rPr>
          <w:rFonts w:ascii="Arial" w:cs="Arial" w:eastAsia="Arial" w:hAnsi="Arial"/>
          <w:color w:val="333333"/>
          <w:sz w:val="22"/>
          <w:szCs w:val="22"/>
        </w:rPr>
        <w:t xml:space="preserve"> Available at: https://www.openbanking.org.uk/ (Accessed: 15 March 2026).</w:t>
      </w:r>
    </w:p>
    <w:p>
      <w:pPr>
        <w:pStyle w:val="Heading2"/>
      </w:pPr>
      <w:r>
        <w:t xml:space="preserve">Summary</w:t>
      </w:r>
    </w:p>
    <w:p>
      <w:pPr>
        <w:spacing w:after="200"/>
      </w:pPr>
      <w:r>
        <w:rPr>
          <w:rFonts w:ascii="Arial" w:cs="Arial" w:eastAsia="Arial" w:hAnsi="Arial"/>
          <w:color w:val="333333"/>
          <w:sz w:val="22"/>
          <w:szCs w:val="22"/>
        </w:rPr>
        <w:t xml:space="preserve">In this chapter, you have examined the architectural structures underpinning traditional and emerging financial markets. You have explored the financial supply chain, key infrastructure components (SWIFT, CHAPS, FPS, BACS, card networks), and the impact of open banking. You have analysed how architectural decisions directly influence security planning and studied the Bangladesh Bank heist as a case study in architectural vulnerability. Understanding these structures is essential for designing security controls that protect financial infrastructure at every layer.</w:t>
      </w:r>
    </w:p>
    <w:p>
      <w:r>
        <w:br w:type="page"/>
      </w:r>
    </w:p>
    <w:p>
      <w:pPr>
        <w:pStyle w:val="Heading1"/>
      </w:pPr>
      <w:r>
        <w:t xml:space="preserve">Chapter Three – Payment Systems and Financial Services Architecture</w:t>
      </w:r>
    </w:p>
    <w:p>
      <w:pPr>
        <w:pStyle w:val="Heading2"/>
      </w:pPr>
      <w:r>
        <w:t xml:space="preserve">Introduction</w:t>
      </w:r>
    </w:p>
    <w:p>
      <w:pPr>
        <w:spacing w:after="200"/>
      </w:pPr>
      <w:r>
        <w:rPr>
          <w:rFonts w:ascii="Arial" w:cs="Arial" w:eastAsia="Arial" w:hAnsi="Arial"/>
          <w:color w:val="333333"/>
          <w:sz w:val="22"/>
          <w:szCs w:val="22"/>
        </w:rPr>
        <w:t xml:space="preserve">This chapter examines the vulnerabilities and good industry practices relating to the payment card industry, and guides you through applying the PCI DSS standard to real-world organisational environments. Payment card data is one of the most frequently targeted categories of financial information, and the Payment Card Industry Data Security Standard provides the most prescriptive and widely adopted security framework for protecting it.</w:t>
      </w:r>
    </w:p>
    <w:p>
      <w:pPr>
        <w:pStyle w:val="Heading2"/>
      </w:pPr>
      <w:r>
        <w:t xml:space="preserve">Learning Outcomes</w:t>
      </w:r>
    </w:p>
    <w:p>
      <w:pPr>
        <w:spacing w:after="200"/>
      </w:pPr>
      <w:r>
        <w:rPr>
          <w:rFonts w:ascii="Arial" w:cs="Arial" w:eastAsia="Arial" w:hAnsi="Arial"/>
          <w:color w:val="333333"/>
          <w:sz w:val="22"/>
          <w:szCs w:val="22"/>
        </w:rPr>
        <w:t xml:space="preserve">On completing the chapter, you will be able to:</w:t>
      </w:r>
    </w:p>
    <w:p>
      <w:pPr>
        <w:pStyle w:val="ListParagraph"/>
        <w:numPr>
          <w:ilvl w:val="0"/>
          <w:numId w:val="5"/>
        </w:numPr>
      </w:pPr>
      <w:r>
        <w:rPr>
          <w:rFonts w:ascii="Arial" w:cs="Arial" w:eastAsia="Arial" w:hAnsi="Arial"/>
          <w:b/>
          <w:bCs/>
          <w:color w:val="333333"/>
          <w:sz w:val="22"/>
          <w:szCs w:val="22"/>
        </w:rPr>
        <w:t xml:space="preserve">Understand how payments systems connect to underpinning financial services architecture.</w:t>
      </w:r>
    </w:p>
    <w:p>
      <w:pPr>
        <w:pStyle w:val="Heading2"/>
      </w:pPr>
      <w:r>
        <w:t xml:space="preserve">Assessment Criteria</w:t>
      </w:r>
    </w:p>
    <w:p>
      <w:pPr>
        <w:spacing w:after="200"/>
      </w:pPr>
      <w:r>
        <w:rPr>
          <w:rFonts w:ascii="Arial" w:cs="Arial" w:eastAsia="Arial" w:hAnsi="Arial"/>
          <w:color w:val="333333"/>
          <w:sz w:val="22"/>
          <w:szCs w:val="22"/>
        </w:rPr>
        <w:t xml:space="preserve">3.1 Assess vulnerabilities and good industry practices related to the payment card industry.</w:t>
      </w:r>
    </w:p>
    <w:p>
      <w:pPr>
        <w:spacing w:after="200"/>
      </w:pPr>
      <w:r>
        <w:rPr>
          <w:rFonts w:ascii="Arial" w:cs="Arial" w:eastAsia="Arial" w:hAnsi="Arial"/>
          <w:color w:val="333333"/>
          <w:sz w:val="22"/>
          <w:szCs w:val="22"/>
        </w:rPr>
        <w:t xml:space="preserve">3.2 Apply the PCI DSS standard to your local domain/organisation.</w:t>
      </w:r>
    </w:p>
    <w:p>
      <w:pPr>
        <w:pStyle w:val="Heading2"/>
      </w:pPr>
      <w:r>
        <w:t xml:space="preserve">3.1 Vulnerabilities and good practice in the payment card industry</w:t>
      </w:r>
    </w:p>
    <w:p>
      <w:pPr>
        <w:spacing w:after="200"/>
      </w:pPr>
      <w:r>
        <w:rPr>
          <w:rFonts w:ascii="Arial" w:cs="Arial" w:eastAsia="Arial" w:hAnsi="Arial"/>
          <w:color w:val="333333"/>
          <w:sz w:val="22"/>
          <w:szCs w:val="22"/>
        </w:rPr>
        <w:t xml:space="preserve">The payment card ecosystem involves multiple participants: cardholders (customers), merchants (retailers), acquiring banks (merchant banks), issuing banks (customer banks), and card networks (Visa, Mastercard). Each participant has different security responsibilities, and vulnerabilities at any point in the chain can compromise cardholder data.</w:t>
      </w:r>
    </w:p>
    <w:p>
      <w:pPr>
        <w:spacing w:after="200"/>
      </w:pPr>
      <w:r>
        <w:rPr>
          <w:rFonts w:ascii="Arial" w:cs="Arial" w:eastAsia="Arial" w:hAnsi="Arial"/>
          <w:color w:val="333333"/>
          <w:sz w:val="22"/>
          <w:szCs w:val="22"/>
        </w:rPr>
        <w:t xml:space="preserve">Common payment card vulnerabilities include point-of-sale malware that captures card data as it is processed at retail terminals; card-not-present fraud targeting e-commerce transactions where the physical card is not required; skimming devices physically attached to ATMs and card readers to capture card data and PINs; man-in-the-middle attacks intercepting card data during transmission between merchant systems and payment processors; inadequate encryption allowing card data to be intercepted in transit or stolen from databases; and tokenisation failures where the mapping between tokens and actual card numbers is compromised.</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5100" w:sz="2"/>
              <w:left w:val="single" w:color="E65100" w:sz="2"/>
              <w:bottom w:val="single" w:color="E65100" w:sz="2"/>
              <w:right w:val="single" w:color="E65100" w:sz="2"/>
            </w:tcBorders>
            <w:shd w:fill="FFF3E0" w:val="clear"/>
            <w:tcMar>
              <w:top w:type="dxa" w:w="120"/>
              <w:left w:type="dxa" w:w="180"/>
              <w:bottom w:type="dxa" w:w="120"/>
              <w:right w:type="dxa" w:w="180"/>
            </w:tcMar>
          </w:tcPr>
          <w:p>
            <w:r>
              <w:rPr>
                <w:rFonts w:ascii="Arial" w:cs="Arial" w:eastAsia="Arial" w:hAnsi="Arial"/>
                <w:b/>
                <w:bCs/>
                <w:color w:val="333333"/>
                <w:sz w:val="22"/>
                <w:szCs w:val="22"/>
              </w:rPr>
              <w:t xml:space="preserve">❗ Need to know – PCI DSS v4.0 Overview</w:t>
            </w:r>
          </w:p>
          <w:p>
            <w:pPr>
              <w:spacing w:before="80"/>
            </w:pPr>
            <w:r>
              <w:rPr>
                <w:rFonts w:ascii="Arial" w:cs="Arial" w:eastAsia="Arial" w:hAnsi="Arial"/>
                <w:color w:val="333333"/>
                <w:sz w:val="22"/>
                <w:szCs w:val="22"/>
              </w:rPr>
              <w:t xml:space="preserve">PCI DSS v4.0, published in March 2022 with a compliance deadline of March 2025 for most requirements, is the most significant update to the standard since its creation. The 12 requirements are:</w:t>
            </w:r>
          </w:p>
          <w:p>
            <w:pPr>
              <w:spacing w:before="80"/>
            </w:pPr>
            <w:r>
              <w:rPr>
                <w:rFonts w:ascii="Arial" w:cs="Arial" w:eastAsia="Arial" w:hAnsi="Arial"/>
                <w:color w:val="333333"/>
                <w:sz w:val="22"/>
                <w:szCs w:val="22"/>
              </w:rPr>
              <w:t xml:space="preserve">1. Install and maintain network security controls. 2. Apply secure configurations. 3. Protect stored account data. 4. Protect cardholder data with strong cryptography during transmission. 5. Protect all systems against malware. 6. Develop and maintain secure systems and software. 7. Restrict access to system components by business need-to-know. 8. Identify users and authenticate access. 9. Restrict physical access to cardholder data. 10. Log and monitor all access. 11. Test security regularly. 12. Support information security with organisational policies and programmes.</w:t>
            </w:r>
          </w:p>
          <w:p>
            <w:pPr>
              <w:spacing w:before="80"/>
            </w:pPr>
            <w:r>
              <w:rPr>
                <w:rFonts w:ascii="Arial" w:cs="Arial" w:eastAsia="Arial" w:hAnsi="Arial"/>
                <w:color w:val="333333"/>
                <w:sz w:val="22"/>
                <w:szCs w:val="22"/>
              </w:rPr>
              <w:t xml:space="preserve">Key changes in v4.0 include: a customised approach allowing organisations to meet objectives through alternative controls; stronger multi-factor authentication requirements; enhanced requirements for detecting and preventing phishing; and new requirements for secure coding practices and software supply chain integrity.</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999999" w:sz="2"/>
              <w:left w:val="single" w:color="999999" w:sz="2"/>
              <w:bottom w:val="single" w:color="999999" w:sz="2"/>
              <w:right w:val="single" w:color="999999" w:sz="2"/>
            </w:tcBorders>
            <w:shd w:fill="F5F5F5" w:val="clear"/>
            <w:tcMar>
              <w:top w:type="dxa" w:w="120"/>
              <w:left w:type="dxa" w:w="180"/>
              <w:bottom w:type="dxa" w:w="120"/>
              <w:right w:type="dxa" w:w="180"/>
            </w:tcMar>
          </w:tcPr>
          <w:p>
            <w:r>
              <w:rPr>
                <w:rFonts w:ascii="Arial" w:cs="Arial" w:eastAsia="Arial" w:hAnsi="Arial"/>
                <w:b/>
                <w:bCs/>
                <w:color w:val="333333"/>
                <w:sz w:val="22"/>
                <w:szCs w:val="22"/>
              </w:rPr>
              <w:t xml:space="preserve">💡 Example – PCI DSS Compliance Levels</w:t>
            </w:r>
          </w:p>
          <w:p>
            <w:pPr>
              <w:spacing w:before="80"/>
            </w:pPr>
            <w:r>
              <w:rPr>
                <w:rFonts w:ascii="Arial" w:cs="Arial" w:eastAsia="Arial" w:hAnsi="Arial"/>
                <w:color w:val="333333"/>
                <w:sz w:val="22"/>
                <w:szCs w:val="22"/>
              </w:rPr>
              <w:t xml:space="preserve">Merchants are classified into four compliance levels based on transaction volume:</w:t>
            </w:r>
          </w:p>
          <w:p>
            <w:pPr>
              <w:spacing w:before="80"/>
            </w:pPr>
            <w:r>
              <w:rPr>
                <w:rFonts w:ascii="Arial" w:cs="Arial" w:eastAsia="Arial" w:hAnsi="Arial"/>
                <w:color w:val="333333"/>
                <w:sz w:val="22"/>
                <w:szCs w:val="22"/>
              </w:rPr>
              <w:t xml:space="preserve">Level 1: Over 6 million card transactions per year. Requires annual onsite assessment by a Qualified Security Assessor (QSA) and quarterly network scans by an Approved Scanning Vendor (ASV).</w:t>
            </w:r>
          </w:p>
          <w:p>
            <w:pPr>
              <w:spacing w:before="80"/>
            </w:pPr>
            <w:r>
              <w:rPr>
                <w:rFonts w:ascii="Arial" w:cs="Arial" w:eastAsia="Arial" w:hAnsi="Arial"/>
                <w:color w:val="333333"/>
                <w:sz w:val="22"/>
                <w:szCs w:val="22"/>
              </w:rPr>
              <w:t xml:space="preserve">Level 2: 1 to 6 million transactions per year. Requires annual Self-Assessment Questionnaire (SAQ) and quarterly ASV scans.</w:t>
            </w:r>
          </w:p>
          <w:p>
            <w:pPr>
              <w:spacing w:before="80"/>
            </w:pPr>
            <w:r>
              <w:rPr>
                <w:rFonts w:ascii="Arial" w:cs="Arial" w:eastAsia="Arial" w:hAnsi="Arial"/>
                <w:color w:val="333333"/>
                <w:sz w:val="22"/>
                <w:szCs w:val="22"/>
              </w:rPr>
              <w:t xml:space="preserve">Level 3: 20,000 to 1 million e-commerce transactions per year. Requires annual SAQ and quarterly ASV scans.</w:t>
            </w:r>
          </w:p>
          <w:p>
            <w:pPr>
              <w:spacing w:before="80"/>
            </w:pPr>
            <w:r>
              <w:rPr>
                <w:rFonts w:ascii="Arial" w:cs="Arial" w:eastAsia="Arial" w:hAnsi="Arial"/>
                <w:color w:val="333333"/>
                <w:sz w:val="22"/>
                <w:szCs w:val="22"/>
              </w:rPr>
              <w:t xml:space="preserve">Level 4: Fewer than 20,000 e-commerce or up to 1 million total transactions per year. Requires annual SAQ and quarterly ASV scans recommended.</w:t>
            </w:r>
          </w:p>
          <w:p>
            <w:pPr>
              <w:spacing w:before="80"/>
            </w:pPr>
            <w:r>
              <w:rPr>
                <w:rFonts w:ascii="Arial" w:cs="Arial" w:eastAsia="Arial" w:hAnsi="Arial"/>
                <w:color w:val="333333"/>
                <w:sz w:val="22"/>
                <w:szCs w:val="22"/>
              </w:rPr>
              <w:t xml:space="preserve">A mid-sized UK online retailer processing 3 million card transactions annually would be Level 2, requiring a SAQ-D (the most comprehensive self-assessment) and quarterly vulnerability scans.</w:t>
            </w:r>
          </w:p>
        </w:tc>
      </w:tr>
    </w:tbl>
    <w:p>
      <w:pPr>
        <w:spacing w:after="200"/>
      </w:pPr>
    </w:p>
    <w:p>
      <w:pPr>
        <w:pStyle w:val="Heading2"/>
      </w:pPr>
      <w:r>
        <w:t xml:space="preserve">3.2 Applying PCI DSS to your organisation</w:t>
      </w:r>
    </w:p>
    <w:p>
      <w:pPr>
        <w:spacing w:after="200"/>
      </w:pPr>
      <w:r>
        <w:rPr>
          <w:rFonts w:ascii="Arial" w:cs="Arial" w:eastAsia="Arial" w:hAnsi="Arial"/>
          <w:color w:val="333333"/>
          <w:sz w:val="22"/>
          <w:szCs w:val="22"/>
        </w:rPr>
        <w:t xml:space="preserve">Applying PCI DSS requires a structured approach. The first step is scoping – identifying all systems, networks, and processes that store, process, or transmit cardholder data, or that could affect the security of cardholder data. Accurate scoping is critical because underscoping creates compliance gaps while overscoping increases cost and complexity unnecessarily. Network segmentation is the primary technique for reducing PCI DSS scope – by isolating the cardholder data environment (CDE) from the rest of the network, only the systems within the CDE need to comply with PCI DSS requirements.</w:t>
      </w:r>
    </w:p>
    <w:p>
      <w:pPr>
        <w:spacing w:after="200"/>
      </w:pPr>
      <w:r>
        <w:rPr>
          <w:rFonts w:ascii="Arial" w:cs="Arial" w:eastAsia="Arial" w:hAnsi="Arial"/>
          <w:color w:val="333333"/>
          <w:sz w:val="22"/>
          <w:szCs w:val="22"/>
        </w:rPr>
        <w:t xml:space="preserve">The second step is gap analysis – comparing the current state of security controls against PCI DSS requirements to identify deficiencies. The third step is remediation – implementing the changes needed to close identified gaps. The fourth step is assessment – either self-assessment (SAQ) or external assessment by a QSA, depending on the organisation’s compliance level. The fifth step is maintenance – PCI DSS compliance is not a one-time event but an ongoing programme requiring continuous monitoring, regular testing, and periodic reassessment.</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1FA2" w:sz="2"/>
              <w:left w:val="single" w:color="7B1FA2" w:sz="2"/>
              <w:bottom w:val="single" w:color="7B1FA2" w:sz="2"/>
              <w:right w:val="single" w:color="7B1FA2" w:sz="2"/>
            </w:tcBorders>
            <w:shd w:fill="F3E5F5" w:val="clear"/>
            <w:tcMar>
              <w:top w:type="dxa" w:w="120"/>
              <w:left w:type="dxa" w:w="180"/>
              <w:bottom w:type="dxa" w:w="120"/>
              <w:right w:type="dxa" w:w="180"/>
            </w:tcMar>
          </w:tcPr>
          <w:p>
            <w:r>
              <w:rPr>
                <w:rFonts w:ascii="Arial" w:cs="Arial" w:eastAsia="Arial" w:hAnsi="Arial"/>
                <w:b/>
                <w:bCs/>
                <w:color w:val="333333"/>
                <w:sz w:val="22"/>
                <w:szCs w:val="22"/>
              </w:rPr>
              <w:t xml:space="preserve">💼 Case Study – British Airways Data Breach and PCI Implications (2018)</w:t>
            </w:r>
          </w:p>
          <w:p>
            <w:pPr>
              <w:spacing w:before="80"/>
            </w:pPr>
            <w:r>
              <w:rPr>
                <w:rFonts w:ascii="Arial" w:cs="Arial" w:eastAsia="Arial" w:hAnsi="Arial"/>
                <w:color w:val="333333"/>
                <w:sz w:val="22"/>
                <w:szCs w:val="22"/>
              </w:rPr>
              <w:t xml:space="preserve">In 2018, British Airways suffered a data breach that compromised the payment card details of approximately 500,000 customers. Attackers injected malicious JavaScript code (known as a Magecart attack) into the BA website and mobile app, which captured payment card details as customers entered them during the booking process. The stolen data was transmitted to attacker-controlled servers in real time. The ICO initially proposed a fine of £183 million under UK GDPR – the largest ever proposed – which was later reduced to £20 million after considering COVID-19 impacts and BA’s cooperation.</w:t>
            </w:r>
          </w:p>
          <w:p>
            <w:pPr>
              <w:spacing w:before="80"/>
            </w:pPr>
            <w:r>
              <w:rPr>
                <w:rFonts w:ascii="Arial" w:cs="Arial" w:eastAsia="Arial" w:hAnsi="Arial"/>
                <w:color w:val="333333"/>
                <w:sz w:val="22"/>
                <w:szCs w:val="22"/>
              </w:rPr>
              <w:t xml:space="preserve">From a PCI DSS perspective, the attack exploited weaknesses in BA’s web application security (Requirement 6), logging and monitoring (Requirement 10), and regular security testing (Requirement 11). A robust Content Security Policy (CSP) – which controls what scripts can execute on a website – could have prevented the malicious JavaScript injection.</w:t>
            </w:r>
          </w:p>
          <w:p>
            <w:pPr>
              <w:spacing w:before="120"/>
            </w:pPr>
            <w:r>
              <w:rPr>
                <w:rFonts w:ascii="Arial" w:cs="Arial" w:eastAsia="Arial" w:hAnsi="Arial"/>
                <w:b/>
                <w:bCs/>
                <w:color w:val="333333"/>
                <w:sz w:val="22"/>
                <w:szCs w:val="22"/>
              </w:rPr>
              <w:t xml:space="preserve">Task: </w:t>
            </w:r>
            <w:r>
              <w:rPr>
                <w:rFonts w:ascii="Arial" w:cs="Arial" w:eastAsia="Arial" w:hAnsi="Arial"/>
                <w:color w:val="333333"/>
                <w:sz w:val="22"/>
                <w:szCs w:val="22"/>
              </w:rPr>
              <w:t xml:space="preserve">(1) Map the BA breach to specific PCI DSS v4.0 requirements that were likely violated. (2) How does a Magecart attack work technically, and what makes it difficult to detect? (3) Design a set of PCI DSS-aligned controls that would prevent a similar attack on an e-commerce website. (4) Compare the ICO fine (£20 million) with the potential PCI DSS penalties (card network fines, loss of ability to process card payments). Which represents a greater business risk? Write a 700-word analysis.</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PCI DSS Gap Analysis Exercise</w:t>
            </w:r>
          </w:p>
          <w:p>
            <w:pPr>
              <w:spacing w:before="80"/>
            </w:pPr>
            <w:r>
              <w:rPr>
                <w:rFonts w:ascii="Arial" w:cs="Arial" w:eastAsia="Arial" w:hAnsi="Arial"/>
                <w:color w:val="333333"/>
                <w:sz w:val="22"/>
                <w:szCs w:val="22"/>
              </w:rPr>
              <w:t xml:space="preserve">You are a PCI QSA conducting a gap analysis for a small e-commerce company that processes 50,000 card transactions per year through its website. Create a gap analysis checklist covering each of the 12 PCI DSS requirements. For each requirement, identify: (a) what the requirement mandates, (b) what evidence you would need to verify compliance, (c) common gaps found in organisations of this size, and (d) recommended remediation approaches. Present your analysis as a formatted table.</w:t>
            </w:r>
          </w:p>
        </w:tc>
      </w:tr>
    </w:tbl>
    <w:p>
      <w:pPr>
        <w:spacing w:after="200"/>
      </w:pPr>
    </w:p>
    <w:p>
      <w:pPr>
        <w:pStyle w:val="Heading2"/>
      </w:pPr>
      <w:r>
        <w:t xml:space="preserve">Reading List</w:t>
      </w:r>
    </w:p>
    <w:p>
      <w:pPr>
        <w:pStyle w:val="ListParagraph"/>
        <w:numPr>
          <w:ilvl w:val="0"/>
          <w:numId w:val="3"/>
        </w:numPr>
        <w:spacing w:after="80"/>
      </w:pPr>
      <w:r>
        <w:rPr>
          <w:rFonts w:ascii="Arial" w:cs="Arial" w:eastAsia="Arial" w:hAnsi="Arial"/>
          <w:color w:val="333333"/>
          <w:sz w:val="22"/>
          <w:szCs w:val="22"/>
        </w:rPr>
        <w:t xml:space="preserve">PCI SSC (2022) </w:t>
      </w:r>
      <w:r>
        <w:rPr>
          <w:rFonts w:ascii="Arial" w:cs="Arial" w:eastAsia="Arial" w:hAnsi="Arial"/>
          <w:i/>
          <w:iCs/>
          <w:color w:val="333333"/>
          <w:sz w:val="22"/>
          <w:szCs w:val="22"/>
        </w:rPr>
        <w:t xml:space="preserve">PCI DSS v4.0: Payment Card Industry Data Security Standard.</w:t>
      </w:r>
      <w:r>
        <w:rPr>
          <w:rFonts w:ascii="Arial" w:cs="Arial" w:eastAsia="Arial" w:hAnsi="Arial"/>
          <w:color w:val="333333"/>
          <w:sz w:val="22"/>
          <w:szCs w:val="22"/>
        </w:rPr>
        <w:t xml:space="preserve"> Available at: https://www.pcisecuritystandards.org/document_library/ (Accessed: 15 March 2026).</w:t>
      </w:r>
    </w:p>
    <w:p>
      <w:pPr>
        <w:pStyle w:val="ListParagraph"/>
        <w:numPr>
          <w:ilvl w:val="0"/>
          <w:numId w:val="3"/>
        </w:numPr>
        <w:spacing w:after="80"/>
      </w:pPr>
      <w:r>
        <w:rPr>
          <w:rFonts w:ascii="Arial" w:cs="Arial" w:eastAsia="Arial" w:hAnsi="Arial"/>
          <w:color w:val="333333"/>
          <w:sz w:val="22"/>
          <w:szCs w:val="22"/>
        </w:rPr>
        <w:t xml:space="preserve">Williams, B. (2023) </w:t>
      </w:r>
      <w:r>
        <w:rPr>
          <w:rFonts w:ascii="Arial" w:cs="Arial" w:eastAsia="Arial" w:hAnsi="Arial"/>
          <w:i/>
          <w:iCs/>
          <w:color w:val="333333"/>
          <w:sz w:val="22"/>
          <w:szCs w:val="22"/>
        </w:rPr>
        <w:t xml:space="preserve">PCI Compliance: Understand and Implement Effective PCI Data Security Standard Compliance.</w:t>
      </w:r>
      <w:r>
        <w:rPr>
          <w:rFonts w:ascii="Arial" w:cs="Arial" w:eastAsia="Arial" w:hAnsi="Arial"/>
          <w:color w:val="333333"/>
          <w:sz w:val="22"/>
          <w:szCs w:val="22"/>
        </w:rPr>
        <w:t xml:space="preserve"> 5th edn. Waltham, MA: Syngress.</w:t>
      </w:r>
    </w:p>
    <w:p>
      <w:pPr>
        <w:pStyle w:val="ListParagraph"/>
        <w:numPr>
          <w:ilvl w:val="0"/>
          <w:numId w:val="3"/>
        </w:numPr>
        <w:spacing w:after="80"/>
      </w:pPr>
      <w:r>
        <w:rPr>
          <w:rFonts w:ascii="Arial" w:cs="Arial" w:eastAsia="Arial" w:hAnsi="Arial"/>
          <w:color w:val="333333"/>
          <w:sz w:val="22"/>
          <w:szCs w:val="22"/>
        </w:rPr>
        <w:t xml:space="preserve">Chuvakin, A., Williams, B. and Schofield, M. (2022) </w:t>
      </w:r>
      <w:r>
        <w:rPr>
          <w:rFonts w:ascii="Arial" w:cs="Arial" w:eastAsia="Arial" w:hAnsi="Arial"/>
          <w:i/>
          <w:iCs/>
          <w:color w:val="333333"/>
          <w:sz w:val="22"/>
          <w:szCs w:val="22"/>
        </w:rPr>
        <w:t xml:space="preserve">PCI Compliance: The Definitive Guide.</w:t>
      </w:r>
      <w:r>
        <w:rPr>
          <w:rFonts w:ascii="Arial" w:cs="Arial" w:eastAsia="Arial" w:hAnsi="Arial"/>
          <w:color w:val="333333"/>
          <w:sz w:val="22"/>
          <w:szCs w:val="22"/>
        </w:rPr>
        <w:t xml:space="preserve"> 4th edn. Waltham, MA: Syngress.</w:t>
      </w:r>
    </w:p>
    <w:p>
      <w:pPr>
        <w:pStyle w:val="Heading2"/>
      </w:pPr>
      <w:r>
        <w:t xml:space="preserve">Summary</w:t>
      </w:r>
    </w:p>
    <w:p>
      <w:pPr>
        <w:spacing w:after="200"/>
      </w:pPr>
      <w:r>
        <w:rPr>
          <w:rFonts w:ascii="Arial" w:cs="Arial" w:eastAsia="Arial" w:hAnsi="Arial"/>
          <w:color w:val="333333"/>
          <w:sz w:val="22"/>
          <w:szCs w:val="22"/>
        </w:rPr>
        <w:t xml:space="preserve">In this chapter, you have assessed the vulnerabilities and good practices relating to the payment card industry. You have examined PCI DSS v4.0 in detail, including its 12 requirements and the compliance level structure. You have learned how to apply PCI DSS to a real-world organisation through scoping, gap analysis, remediation, assessment, and maintenance. The British Airways case study illustrated the real-world consequences of payment card security failures.</w:t>
      </w:r>
    </w:p>
    <w:p>
      <w:r>
        <w:br w:type="page"/>
      </w:r>
    </w:p>
    <w:p>
      <w:pPr>
        <w:pStyle w:val="Heading1"/>
      </w:pPr>
      <w:r>
        <w:t xml:space="preserve">Chapter Four – Cryptocurrencies and Financial Services Architecture</w:t>
      </w:r>
    </w:p>
    <w:p>
      <w:pPr>
        <w:pStyle w:val="Heading2"/>
      </w:pPr>
      <w:r>
        <w:t xml:space="preserve">Introduction</w:t>
      </w:r>
    </w:p>
    <w:p>
      <w:pPr>
        <w:spacing w:after="200"/>
      </w:pPr>
      <w:r>
        <w:rPr>
          <w:rFonts w:ascii="Arial" w:cs="Arial" w:eastAsia="Arial" w:hAnsi="Arial"/>
          <w:color w:val="333333"/>
          <w:sz w:val="22"/>
          <w:szCs w:val="22"/>
        </w:rPr>
        <w:t xml:space="preserve">This chapter evaluates the emerging trends and threats from cryptocurrency-related attacks by cyber criminals. Cryptocurrencies represent a fundamental disruption to traditional financial services, introducing decentralised, pseudonymous, and borderless financial systems that operate outside the control of central banks and financial regulators. While blockchain technology offers genuine innovation in areas such as cross-border payments, smart contracts, and financial inclusion, it has also created new opportunities for cyber crime, money laundering, and fraud on an unprecedented scale.</w:t>
      </w:r>
    </w:p>
    <w:p>
      <w:pPr>
        <w:spacing w:after="200"/>
      </w:pPr>
      <w:r>
        <w:rPr>
          <w:rFonts w:ascii="Arial" w:cs="Arial" w:eastAsia="Arial" w:hAnsi="Arial"/>
          <w:color w:val="333333"/>
          <w:sz w:val="22"/>
          <w:szCs w:val="22"/>
        </w:rPr>
        <w:t xml:space="preserve">You will examine how cryptocurrencies work, the specific security vulnerabilities they introduce, the types of attacks targeting cryptocurrency users and platforms, and the regulatory response to these emerging threats. Throughout this chapter, you will consider how cryptocurrency-related risks connect to and impact the broader financial services architecture.</w:t>
      </w:r>
    </w:p>
    <w:p>
      <w:pPr>
        <w:pStyle w:val="Heading2"/>
      </w:pPr>
      <w:r>
        <w:t xml:space="preserve">Learning Outcomes</w:t>
      </w:r>
    </w:p>
    <w:p>
      <w:pPr>
        <w:spacing w:after="200"/>
      </w:pPr>
      <w:r>
        <w:rPr>
          <w:rFonts w:ascii="Arial" w:cs="Arial" w:eastAsia="Arial" w:hAnsi="Arial"/>
          <w:color w:val="333333"/>
          <w:sz w:val="22"/>
          <w:szCs w:val="22"/>
        </w:rPr>
        <w:t xml:space="preserve">On completing the chapter, you will be able to:</w:t>
      </w:r>
    </w:p>
    <w:p>
      <w:pPr>
        <w:pStyle w:val="ListParagraph"/>
        <w:numPr>
          <w:ilvl w:val="0"/>
          <w:numId w:val="6"/>
        </w:numPr>
      </w:pPr>
      <w:r>
        <w:rPr>
          <w:rFonts w:ascii="Arial" w:cs="Arial" w:eastAsia="Arial" w:hAnsi="Arial"/>
          <w:b/>
          <w:bCs/>
          <w:color w:val="333333"/>
          <w:sz w:val="22"/>
          <w:szCs w:val="22"/>
        </w:rPr>
        <w:t xml:space="preserve">Understand how cryptocurrencies connect to underpinning financial services architecture.</w:t>
      </w:r>
    </w:p>
    <w:p>
      <w:pPr>
        <w:pStyle w:val="Heading2"/>
      </w:pPr>
      <w:r>
        <w:t xml:space="preserve">Assessment Criteria</w:t>
      </w:r>
    </w:p>
    <w:p>
      <w:pPr>
        <w:spacing w:after="200"/>
      </w:pPr>
      <w:r>
        <w:rPr>
          <w:rFonts w:ascii="Arial" w:cs="Arial" w:eastAsia="Arial" w:hAnsi="Arial"/>
          <w:color w:val="333333"/>
          <w:sz w:val="22"/>
          <w:szCs w:val="22"/>
        </w:rPr>
        <w:t xml:space="preserve">4.1 Evaluate emerging trends and threats from cryptocurrency-related attacks by cyber criminals.</w:t>
      </w:r>
    </w:p>
    <w:p>
      <w:pPr>
        <w:pStyle w:val="Heading2"/>
      </w:pPr>
      <w:r>
        <w:t xml:space="preserve">4.1 Emerging trends and threats from cryptocurrency attacks</w:t>
      </w:r>
    </w:p>
    <w:p>
      <w:pPr>
        <w:pStyle w:val="Heading3"/>
      </w:pPr>
      <w:r>
        <w:t xml:space="preserve">Blockchain and Cryptocurrency Fundamentals</w:t>
      </w:r>
    </w:p>
    <w:p>
      <w:pPr>
        <w:spacing w:after="200"/>
      </w:pPr>
      <w:r>
        <w:rPr>
          <w:rFonts w:ascii="Arial" w:cs="Arial" w:eastAsia="Arial" w:hAnsi="Arial"/>
          <w:color w:val="333333"/>
          <w:sz w:val="22"/>
          <w:szCs w:val="22"/>
        </w:rPr>
        <w:t xml:space="preserve">A cryptocurrency is a digital or virtual currency that uses cryptography for security and operates on a decentralised network, typically a blockchain. A blockchain is a distributed ledger – a continuously growing list of records (blocks) linked and secured using cryptographic hashes. Each block contains a cryptographic hash of the previous block, a timestamp, and transaction data. The decentralised nature of blockchain means there is no single point of failure and no central authority that can be compromised or coerced.</w:t>
      </w:r>
    </w:p>
    <w:p>
      <w:pPr>
        <w:spacing w:after="200"/>
      </w:pPr>
      <w:r>
        <w:rPr>
          <w:rFonts w:ascii="Arial" w:cs="Arial" w:eastAsia="Arial" w:hAnsi="Arial"/>
          <w:color w:val="333333"/>
          <w:sz w:val="22"/>
          <w:szCs w:val="22"/>
        </w:rPr>
        <w:t xml:space="preserve">Bitcoin, the first and most well-known cryptocurrency, was introduced in 2009 by the pseudonymous Satoshi Nakamoto. Since then, thousands of cryptocurrencies have been created, including Ethereum (which introduced smart contracts – self-executing contracts with the terms directly written into code), Ripple (designed for fast cross-border payments between financial institutions), and stablecoins such as Tether and USDC (pegged to fiat currencies to reduce volatility). The total cryptocurrency market capitalisation has fluctuated between $1 trillion and $3 trillion in recent years.</w:t>
      </w:r>
    </w:p>
    <w:p>
      <w:pPr>
        <w:spacing w:after="200"/>
      </w:pPr>
      <w:r>
        <w:rPr>
          <w:rFonts w:ascii="Arial" w:cs="Arial" w:eastAsia="Arial" w:hAnsi="Arial"/>
          <w:color w:val="333333"/>
          <w:sz w:val="22"/>
          <w:szCs w:val="22"/>
        </w:rPr>
        <w:t xml:space="preserve">While the blockchain protocol itself is considered highly secure (no major blockchain has been successfully ‘50% attacked’ in practice for the leading cryptocurrencies), the ecosystem around blockchain – exchanges, wallets, smart contracts, and the humans who use them – is riddled with vulnerabilities. As security researchers frequently note, the blockchain is secure but the people and platforms using it often are not.</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00695C" w:sz="2"/>
              <w:left w:val="single" w:color="00695C" w:sz="2"/>
              <w:bottom w:val="single" w:color="00695C" w:sz="2"/>
              <w:right w:val="single" w:color="00695C" w:sz="2"/>
            </w:tcBorders>
            <w:shd w:fill="E0F2F1" w:val="clear"/>
            <w:tcMar>
              <w:top w:type="dxa" w:w="120"/>
              <w:left w:type="dxa" w:w="180"/>
              <w:bottom w:type="dxa" w:w="120"/>
              <w:right w:type="dxa" w:w="180"/>
            </w:tcMar>
          </w:tcPr>
          <w:p>
            <w:r>
              <w:rPr>
                <w:rFonts w:ascii="Arial" w:cs="Arial" w:eastAsia="Arial" w:hAnsi="Arial"/>
                <w:b/>
                <w:bCs/>
                <w:color w:val="333333"/>
                <w:sz w:val="22"/>
                <w:szCs w:val="22"/>
              </w:rPr>
              <w:t xml:space="preserve">🧭 Did you know?</w:t>
            </w:r>
          </w:p>
          <w:p>
            <w:pPr>
              <w:spacing w:before="80"/>
            </w:pPr>
            <w:r>
              <w:rPr>
                <w:rFonts w:ascii="Arial" w:cs="Arial" w:eastAsia="Arial" w:hAnsi="Arial"/>
                <w:color w:val="333333"/>
                <w:sz w:val="22"/>
                <w:szCs w:val="22"/>
              </w:rPr>
              <w:t xml:space="preserve">According to Chainalysis, cyber criminals stole over $3.8 billion worth of cryptocurrency in 2022 alone, with DeFi (Decentralised Finance) protocols accounting for over 80% of the total. The Ronin Network bridge attack in March 2022, linked to North Korea’s Lazarus Group, resulted in the theft of $620 million – the largest cryptocurrency heist to date. Despite the pseudonymous nature of blockchain transactions, blockchain analytics firms have become increasingly effective at tracing stolen funds, leading to the recovery of significant amounts in some cases.</w:t>
            </w:r>
          </w:p>
        </w:tc>
      </w:tr>
    </w:tbl>
    <w:p>
      <w:pPr>
        <w:spacing w:after="200"/>
      </w:pPr>
    </w:p>
    <w:p>
      <w:pPr>
        <w:pStyle w:val="Heading3"/>
      </w:pPr>
      <w:r>
        <w:t xml:space="preserve">Cryptocurrency Attack Vectors</w:t>
      </w:r>
    </w:p>
    <w:p>
      <w:pPr>
        <w:pStyle w:val="ListParagraph"/>
        <w:numPr>
          <w:ilvl w:val="0"/>
          <w:numId w:val="3"/>
        </w:numPr>
        <w:spacing w:after="100"/>
      </w:pPr>
      <w:r>
        <w:rPr>
          <w:rFonts w:ascii="Arial" w:cs="Arial" w:eastAsia="Arial" w:hAnsi="Arial"/>
          <w:b/>
          <w:bCs/>
          <w:color w:val="333333"/>
          <w:sz w:val="22"/>
          <w:szCs w:val="22"/>
        </w:rPr>
        <w:t xml:space="preserve">Exchange hacks</w:t>
      </w:r>
      <w:r>
        <w:rPr>
          <w:rFonts w:ascii="Arial" w:cs="Arial" w:eastAsia="Arial" w:hAnsi="Arial"/>
          <w:color w:val="333333"/>
          <w:sz w:val="22"/>
          <w:szCs w:val="22"/>
        </w:rPr>
        <w:t xml:space="preserve"> – centralised cryptocurrency exchanges, which hold customer funds in pooled wallets, are high-value targets. Major exchange hacks include Mt. Gox (2014, $460 million), Bitfinex (2016, $72 million), Coincheck (2018, $534 million), and FTX (2022, $477 million post-collapse theft). Vulnerabilities include inadequate hot wallet security, poor private key management, insider threats, and social engineering attacks on exchange employees.</w:t>
      </w:r>
    </w:p>
    <w:p>
      <w:pPr>
        <w:pStyle w:val="ListParagraph"/>
        <w:numPr>
          <w:ilvl w:val="0"/>
          <w:numId w:val="3"/>
        </w:numPr>
        <w:spacing w:after="100"/>
      </w:pPr>
      <w:r>
        <w:rPr>
          <w:rFonts w:ascii="Arial" w:cs="Arial" w:eastAsia="Arial" w:hAnsi="Arial"/>
          <w:b/>
          <w:bCs/>
          <w:color w:val="333333"/>
          <w:sz w:val="22"/>
          <w:szCs w:val="22"/>
        </w:rPr>
        <w:t xml:space="preserve">Smart contract exploits</w:t>
      </w:r>
      <w:r>
        <w:rPr>
          <w:rFonts w:ascii="Arial" w:cs="Arial" w:eastAsia="Arial" w:hAnsi="Arial"/>
          <w:color w:val="333333"/>
          <w:sz w:val="22"/>
          <w:szCs w:val="22"/>
        </w:rPr>
        <w:t xml:space="preserve"> – vulnerabilities in smart contract code can be exploited to drain funds. The DAO hack (2016, $60 million) exploited a re-entrancy vulnerability in an Ethereum smart contract. Smart contracts are immutable once deployed, meaning code vulnerabilities cannot be patched without deploying a new contract. The DeFi sector has experienced hundreds of smart contract exploits totalling billions of dollars.</w:t>
      </w:r>
    </w:p>
    <w:p>
      <w:pPr>
        <w:pStyle w:val="ListParagraph"/>
        <w:numPr>
          <w:ilvl w:val="0"/>
          <w:numId w:val="3"/>
        </w:numPr>
        <w:spacing w:after="100"/>
      </w:pPr>
      <w:r>
        <w:rPr>
          <w:rFonts w:ascii="Arial" w:cs="Arial" w:eastAsia="Arial" w:hAnsi="Arial"/>
          <w:b/>
          <w:bCs/>
          <w:color w:val="333333"/>
          <w:sz w:val="22"/>
          <w:szCs w:val="22"/>
        </w:rPr>
        <w:t xml:space="preserve">Bridge attacks</w:t>
      </w:r>
      <w:r>
        <w:rPr>
          <w:rFonts w:ascii="Arial" w:cs="Arial" w:eastAsia="Arial" w:hAnsi="Arial"/>
          <w:color w:val="333333"/>
          <w:sz w:val="22"/>
          <w:szCs w:val="22"/>
        </w:rPr>
        <w:t xml:space="preserve"> – cross-chain bridges (protocols that enable transfer of assets between different blockchains) have become a primary target, accounting for a disproportionate share of cryptocurrency theft. The Ronin bridge ($620 million), Wormhole bridge ($326 million), and Nomad bridge ($190 million) attacks all occurred in 2022.</w:t>
      </w:r>
    </w:p>
    <w:p>
      <w:pPr>
        <w:pStyle w:val="ListParagraph"/>
        <w:numPr>
          <w:ilvl w:val="0"/>
          <w:numId w:val="3"/>
        </w:numPr>
        <w:spacing w:after="100"/>
      </w:pPr>
      <w:r>
        <w:rPr>
          <w:rFonts w:ascii="Arial" w:cs="Arial" w:eastAsia="Arial" w:hAnsi="Arial"/>
          <w:b/>
          <w:bCs/>
          <w:color w:val="333333"/>
          <w:sz w:val="22"/>
          <w:szCs w:val="22"/>
        </w:rPr>
        <w:t xml:space="preserve">Phishing and social engineering</w:t>
      </w:r>
      <w:r>
        <w:rPr>
          <w:rFonts w:ascii="Arial" w:cs="Arial" w:eastAsia="Arial" w:hAnsi="Arial"/>
          <w:color w:val="333333"/>
          <w:sz w:val="22"/>
          <w:szCs w:val="22"/>
        </w:rPr>
        <w:t xml:space="preserve"> – targeting cryptocurrency users to steal private keys, seed phrases, or exchange login credentials. Cryptocurrency phishing is particularly dangerous because transactions are irreversible – once funds are transferred to an attacker’s wallet, there is no chargeback mechanism.</w:t>
      </w:r>
    </w:p>
    <w:p>
      <w:pPr>
        <w:pStyle w:val="ListParagraph"/>
        <w:numPr>
          <w:ilvl w:val="0"/>
          <w:numId w:val="3"/>
        </w:numPr>
        <w:spacing w:after="100"/>
      </w:pPr>
      <w:r>
        <w:rPr>
          <w:rFonts w:ascii="Arial" w:cs="Arial" w:eastAsia="Arial" w:hAnsi="Arial"/>
          <w:b/>
          <w:bCs/>
          <w:color w:val="333333"/>
          <w:sz w:val="22"/>
          <w:szCs w:val="22"/>
        </w:rPr>
        <w:t xml:space="preserve">51% attacks</w:t>
      </w:r>
      <w:r>
        <w:rPr>
          <w:rFonts w:ascii="Arial" w:cs="Arial" w:eastAsia="Arial" w:hAnsi="Arial"/>
          <w:color w:val="333333"/>
          <w:sz w:val="22"/>
          <w:szCs w:val="22"/>
        </w:rPr>
        <w:t xml:space="preserve"> – if a single entity gains control of more than 50% of a blockchain’s mining/validation power, they can manipulate the blockchain to double-spend coins. While practically infeasible for Bitcoin and Ethereum, smaller cryptocurrencies have been successfully 51% attacked.</w:t>
      </w:r>
    </w:p>
    <w:p>
      <w:pPr>
        <w:pStyle w:val="ListParagraph"/>
        <w:numPr>
          <w:ilvl w:val="0"/>
          <w:numId w:val="3"/>
        </w:numPr>
        <w:spacing w:after="100"/>
      </w:pPr>
      <w:r>
        <w:rPr>
          <w:rFonts w:ascii="Arial" w:cs="Arial" w:eastAsia="Arial" w:hAnsi="Arial"/>
          <w:b/>
          <w:bCs/>
          <w:color w:val="333333"/>
          <w:sz w:val="22"/>
          <w:szCs w:val="22"/>
        </w:rPr>
        <w:t xml:space="preserve">Cryptojacking</w:t>
      </w:r>
      <w:r>
        <w:rPr>
          <w:rFonts w:ascii="Arial" w:cs="Arial" w:eastAsia="Arial" w:hAnsi="Arial"/>
          <w:color w:val="333333"/>
          <w:sz w:val="22"/>
          <w:szCs w:val="22"/>
        </w:rPr>
        <w:t xml:space="preserve"> – malware that hijacks victims’ computing resources to mine cryptocurrency without their knowledge. While the financial impact on individual victims is modest, cryptojacking consumes significant energy and computing resources at scale.</w:t>
      </w:r>
    </w:p>
    <w:p>
      <w:pPr>
        <w:pStyle w:val="ListParagraph"/>
        <w:numPr>
          <w:ilvl w:val="0"/>
          <w:numId w:val="3"/>
        </w:numPr>
        <w:spacing w:after="100"/>
      </w:pPr>
      <w:r>
        <w:rPr>
          <w:rFonts w:ascii="Arial" w:cs="Arial" w:eastAsia="Arial" w:hAnsi="Arial"/>
          <w:b/>
          <w:bCs/>
          <w:color w:val="333333"/>
          <w:sz w:val="22"/>
          <w:szCs w:val="22"/>
        </w:rPr>
        <w:t xml:space="preserve">Ransomware and cryptocurrency</w:t>
      </w:r>
      <w:r>
        <w:rPr>
          <w:rFonts w:ascii="Arial" w:cs="Arial" w:eastAsia="Arial" w:hAnsi="Arial"/>
          <w:color w:val="333333"/>
          <w:sz w:val="22"/>
          <w:szCs w:val="22"/>
        </w:rPr>
        <w:t xml:space="preserve"> – virtually all ransomware payments are demanded in cryptocurrency (primarily Bitcoin and Monero) because of the pseudonymous nature of blockchain transactions. Ransomware has created a direct link between cryptocurrency infrastructure and the broader cyber crime economy.</w:t>
      </w:r>
    </w:p>
    <w:p>
      <w:pPr>
        <w:pStyle w:val="ListParagraph"/>
        <w:numPr>
          <w:ilvl w:val="0"/>
          <w:numId w:val="3"/>
        </w:numPr>
        <w:spacing w:after="100"/>
      </w:pPr>
      <w:r>
        <w:rPr>
          <w:rFonts w:ascii="Arial" w:cs="Arial" w:eastAsia="Arial" w:hAnsi="Arial"/>
          <w:b/>
          <w:bCs/>
          <w:color w:val="333333"/>
          <w:sz w:val="22"/>
          <w:szCs w:val="22"/>
        </w:rPr>
        <w:t xml:space="preserve">Rug pulls and exit scams</w:t>
      </w:r>
      <w:r>
        <w:rPr>
          <w:rFonts w:ascii="Arial" w:cs="Arial" w:eastAsia="Arial" w:hAnsi="Arial"/>
          <w:color w:val="333333"/>
          <w:sz w:val="22"/>
          <w:szCs w:val="22"/>
        </w:rPr>
        <w:t xml:space="preserve"> – fraudulent DeFi projects that attract investment before the creators abscond with the funds. The Squid Game token rug pull (2021) and various ‘meme coin’ scams illustrate the lack of investor protection in unregulated cryptocurrency markets.</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1FA2" w:sz="2"/>
              <w:left w:val="single" w:color="7B1FA2" w:sz="2"/>
              <w:bottom w:val="single" w:color="7B1FA2" w:sz="2"/>
              <w:right w:val="single" w:color="7B1FA2" w:sz="2"/>
            </w:tcBorders>
            <w:shd w:fill="F3E5F5" w:val="clear"/>
            <w:tcMar>
              <w:top w:type="dxa" w:w="120"/>
              <w:left w:type="dxa" w:w="180"/>
              <w:bottom w:type="dxa" w:w="120"/>
              <w:right w:type="dxa" w:w="180"/>
            </w:tcMar>
          </w:tcPr>
          <w:p>
            <w:r>
              <w:rPr>
                <w:rFonts w:ascii="Arial" w:cs="Arial" w:eastAsia="Arial" w:hAnsi="Arial"/>
                <w:b/>
                <w:bCs/>
                <w:color w:val="333333"/>
                <w:sz w:val="22"/>
                <w:szCs w:val="22"/>
              </w:rPr>
              <w:t xml:space="preserve">💼 Case Study – The FTX Collapse (2022)</w:t>
            </w:r>
          </w:p>
          <w:p>
            <w:pPr>
              <w:spacing w:before="80"/>
            </w:pPr>
            <w:r>
              <w:rPr>
                <w:rFonts w:ascii="Arial" w:cs="Arial" w:eastAsia="Arial" w:hAnsi="Arial"/>
                <w:color w:val="333333"/>
                <w:sz w:val="22"/>
                <w:szCs w:val="22"/>
              </w:rPr>
              <w:t xml:space="preserve">FTX, once the third-largest cryptocurrency exchange globally with a valuation of $32 billion, collapsed in November 2022 in what has been described as one of the largest financial frauds in history. The collapse revealed that FTX’s founder, Sam Bankman-Fried, had used billions of dollars in customer deposits to fund risky trades through his affiliated trading firm, Alameda Research. Customer funds were commingled with corporate funds, there were no meaningful internal controls or governance structures, and the company’s balance sheet was essentially fabricated.</w:t>
            </w:r>
          </w:p>
          <w:p>
            <w:pPr>
              <w:spacing w:before="80"/>
            </w:pPr>
            <w:r>
              <w:rPr>
                <w:rFonts w:ascii="Arial" w:cs="Arial" w:eastAsia="Arial" w:hAnsi="Arial"/>
                <w:color w:val="333333"/>
                <w:sz w:val="22"/>
                <w:szCs w:val="22"/>
              </w:rPr>
              <w:t xml:space="preserve">In the immediate aftermath of FTX’s bankruptcy filing, approximately $477 million in cryptocurrency was stolen from FTX wallets in what appeared to be an insider theft. The collapse triggered a broader ‘crypto winter’ that wiped hundreds of billions of dollars from the cryptocurrency market and led to the failure of multiple connected firms. Bankman-Fried was convicted in November 2023 of fraud and conspiracy, facing a potential sentence of over 100 years in prison.</w:t>
            </w:r>
          </w:p>
          <w:p>
            <w:pPr>
              <w:spacing w:before="120"/>
            </w:pPr>
            <w:r>
              <w:rPr>
                <w:rFonts w:ascii="Arial" w:cs="Arial" w:eastAsia="Arial" w:hAnsi="Arial"/>
                <w:b/>
                <w:bCs/>
                <w:color w:val="333333"/>
                <w:sz w:val="22"/>
                <w:szCs w:val="22"/>
              </w:rPr>
              <w:t xml:space="preserve">Task: </w:t>
            </w:r>
            <w:r>
              <w:rPr>
                <w:rFonts w:ascii="Arial" w:cs="Arial" w:eastAsia="Arial" w:hAnsi="Arial"/>
                <w:color w:val="333333"/>
                <w:sz w:val="22"/>
                <w:szCs w:val="22"/>
              </w:rPr>
              <w:t xml:space="preserve">(1) Analyse the governance and security failures at FTX that enabled the fraud to continue undetected. (2) What role did the lack of financial regulation play in the collapse? (3) Compare the security of centralised exchanges (like FTX) with decentralised exchanges (DEXs) – which model better protects customer funds? (4) How has the FTX collapse influenced cryptocurrency regulation globally (research at least three jurisdictions)? (5) What lessons should traditional financial institutions learn from the FTX collapse about the risks of cryptocurrency exposure? Write a comprehensive 800-word analysis.</w:t>
            </w:r>
          </w:p>
        </w:tc>
      </w:tr>
    </w:tbl>
    <w:p>
      <w:pPr>
        <w:spacing w:after="200"/>
      </w:pPr>
    </w:p>
    <w:p>
      <w:pPr>
        <w:pStyle w:val="Heading3"/>
      </w:pPr>
      <w:r>
        <w:t xml:space="preserve">Regulatory Response to Cryptocurrency Threats</w:t>
      </w:r>
    </w:p>
    <w:p>
      <w:pPr>
        <w:spacing w:after="200"/>
      </w:pPr>
      <w:r>
        <w:rPr>
          <w:rFonts w:ascii="Arial" w:cs="Arial" w:eastAsia="Arial" w:hAnsi="Arial"/>
          <w:color w:val="333333"/>
          <w:sz w:val="22"/>
          <w:szCs w:val="22"/>
        </w:rPr>
        <w:t xml:space="preserve">The regulatory response to cryptocurrency threats varies significantly across jurisdictions:</w:t>
      </w:r>
    </w:p>
    <w:p>
      <w:pPr>
        <w:pStyle w:val="ListParagraph"/>
        <w:numPr>
          <w:ilvl w:val="0"/>
          <w:numId w:val="3"/>
        </w:numPr>
        <w:spacing w:after="100"/>
      </w:pPr>
      <w:r>
        <w:rPr>
          <w:rFonts w:ascii="Arial" w:cs="Arial" w:eastAsia="Arial" w:hAnsi="Arial"/>
          <w:b/>
          <w:bCs/>
          <w:color w:val="333333"/>
          <w:sz w:val="22"/>
          <w:szCs w:val="22"/>
        </w:rPr>
        <w:t xml:space="preserve">United Kingdom</w:t>
      </w:r>
      <w:r>
        <w:rPr>
          <w:rFonts w:ascii="Arial" w:cs="Arial" w:eastAsia="Arial" w:hAnsi="Arial"/>
          <w:color w:val="333333"/>
          <w:sz w:val="22"/>
          <w:szCs w:val="22"/>
        </w:rPr>
        <w:t xml:space="preserve"> – the FCA requires cryptocurrency firms to register and comply with anti-money laundering (AML) regulations. The Financial Services and Markets Act 2023 brought stablecoins into the regulatory perimeter. The FCA has issued multiple consumer warnings about the risks of cryptocurrency investment and has banned the sale of cryptocurrency derivatives to retail consumers.</w:t>
      </w:r>
    </w:p>
    <w:p>
      <w:pPr>
        <w:pStyle w:val="ListParagraph"/>
        <w:numPr>
          <w:ilvl w:val="0"/>
          <w:numId w:val="3"/>
        </w:numPr>
        <w:spacing w:after="100"/>
      </w:pPr>
      <w:r>
        <w:rPr>
          <w:rFonts w:ascii="Arial" w:cs="Arial" w:eastAsia="Arial" w:hAnsi="Arial"/>
          <w:b/>
          <w:bCs/>
          <w:color w:val="333333"/>
          <w:sz w:val="22"/>
          <w:szCs w:val="22"/>
        </w:rPr>
        <w:t xml:space="preserve">European Union</w:t>
      </w:r>
      <w:r>
        <w:rPr>
          <w:rFonts w:ascii="Arial" w:cs="Arial" w:eastAsia="Arial" w:hAnsi="Arial"/>
          <w:color w:val="333333"/>
          <w:sz w:val="22"/>
          <w:szCs w:val="22"/>
        </w:rPr>
        <w:t xml:space="preserve"> – the Markets in Crypto-Assets (MiCA) regulation, which came into force in 2024, provides a comprehensive regulatory framework for cryptocurrency issuers and service providers across the EU, including requirements for governance, disclosure, consumer protection, and AML compliance.</w:t>
      </w:r>
    </w:p>
    <w:p>
      <w:pPr>
        <w:pStyle w:val="ListParagraph"/>
        <w:numPr>
          <w:ilvl w:val="0"/>
          <w:numId w:val="3"/>
        </w:numPr>
        <w:spacing w:after="100"/>
      </w:pPr>
      <w:r>
        <w:rPr>
          <w:rFonts w:ascii="Arial" w:cs="Arial" w:eastAsia="Arial" w:hAnsi="Arial"/>
          <w:b/>
          <w:bCs/>
          <w:color w:val="333333"/>
          <w:sz w:val="22"/>
          <w:szCs w:val="22"/>
        </w:rPr>
        <w:t xml:space="preserve">United States</w:t>
      </w:r>
      <w:r>
        <w:rPr>
          <w:rFonts w:ascii="Arial" w:cs="Arial" w:eastAsia="Arial" w:hAnsi="Arial"/>
          <w:color w:val="333333"/>
          <w:sz w:val="22"/>
          <w:szCs w:val="22"/>
        </w:rPr>
        <w:t xml:space="preserve"> – the regulatory approach is fragmented across multiple agencies (SEC, CFTC, FinCEN), with ongoing debate about whether cryptocurrencies are securities, commodities, or currencies. The SEC has taken enforcement action against numerous cryptocurrency projects and exchanges.</w:t>
      </w:r>
    </w:p>
    <w:p>
      <w:pPr>
        <w:pStyle w:val="ListParagraph"/>
        <w:numPr>
          <w:ilvl w:val="0"/>
          <w:numId w:val="3"/>
        </w:numPr>
        <w:spacing w:after="100"/>
      </w:pPr>
      <w:r>
        <w:rPr>
          <w:rFonts w:ascii="Arial" w:cs="Arial" w:eastAsia="Arial" w:hAnsi="Arial"/>
          <w:b/>
          <w:bCs/>
          <w:color w:val="333333"/>
          <w:sz w:val="22"/>
          <w:szCs w:val="22"/>
        </w:rPr>
        <w:t xml:space="preserve">Global standards</w:t>
      </w:r>
      <w:r>
        <w:rPr>
          <w:rFonts w:ascii="Arial" w:cs="Arial" w:eastAsia="Arial" w:hAnsi="Arial"/>
          <w:color w:val="333333"/>
          <w:sz w:val="22"/>
          <w:szCs w:val="22"/>
        </w:rPr>
        <w:t xml:space="preserve"> – the Financial Action Task Force (FATF) has issued guidance requiring countries to apply AML and counter-terrorist financing (CTF) requirements to cryptocurrency service providers, including the ‘travel rule’ requiring the sharing of sender and recipient information for transfers above certain thresholds.</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Cryptocurrency Threat Assessment Activity</w:t>
            </w:r>
          </w:p>
          <w:p>
            <w:pPr>
              <w:spacing w:before="80"/>
            </w:pPr>
            <w:r>
              <w:rPr>
                <w:rFonts w:ascii="Arial" w:cs="Arial" w:eastAsia="Arial" w:hAnsi="Arial"/>
                <w:color w:val="333333"/>
                <w:sz w:val="22"/>
                <w:szCs w:val="22"/>
              </w:rPr>
              <w:t xml:space="preserve">You are a security consultant advising a UK bank that is considering offering cryptocurrency custody services to institutional clients. Prepare a comprehensive threat assessment covering: (a) the five most significant threats to cryptocurrency custody (ranked by likelihood and impact), (b) the regulatory requirements the bank must comply with (UK-specific), (c) the technical security controls required for private key management, (d) insurance considerations for cryptocurrency custody, (e) a comparison of hot wallet vs cold wallet security trade-offs, and (f) recommended security architecture. Present your assessment as a 1,200-word professional advisory report.</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Video Watch: Blockchain Security</w:t>
            </w:r>
          </w:p>
          <w:p>
            <w:pPr>
              <w:spacing w:before="80"/>
            </w:pPr>
            <w:r>
              <w:rPr>
                <w:rFonts w:ascii="Arial" w:cs="Arial" w:eastAsia="Arial" w:hAnsi="Arial"/>
                <w:b/>
                <w:bCs/>
                <w:color w:val="333333"/>
                <w:sz w:val="22"/>
                <w:szCs w:val="22"/>
              </w:rPr>
              <w:t xml:space="preserve">Title: </w:t>
            </w:r>
            <w:r>
              <w:rPr>
                <w:rFonts w:ascii="Arial" w:cs="Arial" w:eastAsia="Arial" w:hAnsi="Arial"/>
                <w:color w:val="333333"/>
                <w:sz w:val="22"/>
                <w:szCs w:val="22"/>
              </w:rPr>
              <w:t xml:space="preserve">How Cryptocurrency ACTUALLY Works – Fireship</w:t>
            </w:r>
          </w:p>
          <w:p>
            <w:pPr>
              <w:spacing w:before="80"/>
            </w:pPr>
            <w:r>
              <w:rPr>
                <w:rFonts w:ascii="Arial" w:cs="Arial" w:eastAsia="Arial" w:hAnsi="Arial"/>
                <w:b/>
                <w:bCs/>
                <w:color w:val="333333"/>
                <w:sz w:val="22"/>
                <w:szCs w:val="22"/>
              </w:rPr>
              <w:t xml:space="preserve">Link: </w:t>
            </w:r>
            <w:r>
              <w:rPr>
                <w:rFonts w:ascii="Arial" w:cs="Arial" w:eastAsia="Arial" w:hAnsi="Arial"/>
                <w:color w:val="2E75B6"/>
                <w:sz w:val="22"/>
                <w:szCs w:val="22"/>
              </w:rPr>
              <w:t xml:space="preserve">https://www.youtube.com/watch?v=rYQgy8QDEBI</w:t>
            </w:r>
          </w:p>
          <w:p>
            <w:pPr>
              <w:spacing w:before="80"/>
            </w:pPr>
            <w:r>
              <w:rPr>
                <w:rFonts w:ascii="Arial" w:cs="Arial" w:eastAsia="Arial" w:hAnsi="Arial"/>
                <w:i/>
                <w:iCs/>
                <w:color w:val="333333"/>
                <w:sz w:val="22"/>
                <w:szCs w:val="22"/>
              </w:rPr>
              <w:t xml:space="preserve">After watching, explain: What is the difference between a public and private key? How does a blockchain achieve consensus without a central authority? Why is the phrase ‘not your keys, not your coins’ considered fundamental security advice in cryptocurrency?</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6C300" w:sz="2"/>
              <w:left w:val="single" w:color="E6C300" w:sz="2"/>
              <w:bottom w:val="single" w:color="E6C300" w:sz="2"/>
              <w:right w:val="single" w:color="E6C300" w:sz="2"/>
            </w:tcBorders>
            <w:shd w:fill="FFF9E6" w:val="clear"/>
            <w:tcMar>
              <w:top w:type="dxa" w:w="120"/>
              <w:left w:type="dxa" w:w="180"/>
              <w:bottom w:type="dxa" w:w="120"/>
              <w:right w:type="dxa" w:w="180"/>
            </w:tcMar>
          </w:tcPr>
          <w:p>
            <w:r>
              <w:rPr>
                <w:rFonts w:ascii="Arial" w:cs="Arial" w:eastAsia="Arial" w:hAnsi="Arial"/>
                <w:b/>
                <w:bCs/>
                <w:color w:val="333333"/>
                <w:sz w:val="22"/>
                <w:szCs w:val="22"/>
              </w:rPr>
              <w:t xml:space="preserve">📝 Over to you – Blockchain Tracing Activity</w:t>
            </w:r>
          </w:p>
          <w:p>
            <w:pPr>
              <w:spacing w:before="80"/>
            </w:pPr>
            <w:r>
              <w:rPr>
                <w:rFonts w:ascii="Arial" w:cs="Arial" w:eastAsia="Arial" w:hAnsi="Arial"/>
                <w:color w:val="333333"/>
                <w:sz w:val="22"/>
                <w:szCs w:val="22"/>
              </w:rPr>
              <w:t xml:space="preserve">Visit a public blockchain explorer (e.g. https://www.blockchain.com/explorer or https://etherscan.io/). Select a recent Bitcoin or Ethereum transaction and trace it through the blockchain. Document: (a) the transaction hash, (b) the sender and recipient wallet addresses, (c) the amount transferred, (d) the transaction fee, (e) the block number and timestamp. Explain what this transparency means for both law enforcement and privacy. Can blockchain transactions truly be anonymous? Write a 400-word analysis.</w:t>
            </w:r>
          </w:p>
        </w:tc>
      </w:tr>
    </w:tbl>
    <w:p>
      <w:pPr>
        <w:spacing w:after="200"/>
      </w:pPr>
    </w:p>
    <w:p>
      <w:pPr>
        <w:pStyle w:val="Heading2"/>
      </w:pPr>
      <w:r>
        <w:t xml:space="preserve">Reading List</w:t>
      </w:r>
    </w:p>
    <w:p>
      <w:pPr>
        <w:pStyle w:val="ListParagraph"/>
        <w:numPr>
          <w:ilvl w:val="0"/>
          <w:numId w:val="3"/>
        </w:numPr>
        <w:spacing w:after="80"/>
      </w:pPr>
      <w:r>
        <w:rPr>
          <w:rFonts w:ascii="Arial" w:cs="Arial" w:eastAsia="Arial" w:hAnsi="Arial"/>
          <w:color w:val="333333"/>
          <w:sz w:val="22"/>
          <w:szCs w:val="22"/>
        </w:rPr>
        <w:t xml:space="preserve">Narayanan, A., Bonneau, J., Felten, E., Miller, A. and Goldfeder, S. (2022) </w:t>
      </w:r>
      <w:r>
        <w:rPr>
          <w:rFonts w:ascii="Arial" w:cs="Arial" w:eastAsia="Arial" w:hAnsi="Arial"/>
          <w:i/>
          <w:iCs/>
          <w:color w:val="333333"/>
          <w:sz w:val="22"/>
          <w:szCs w:val="22"/>
        </w:rPr>
        <w:t xml:space="preserve">Bitcoin and Cryptocurrency Technologies: A Comprehensive Introduction.</w:t>
      </w:r>
      <w:r>
        <w:rPr>
          <w:rFonts w:ascii="Arial" w:cs="Arial" w:eastAsia="Arial" w:hAnsi="Arial"/>
          <w:color w:val="333333"/>
          <w:sz w:val="22"/>
          <w:szCs w:val="22"/>
        </w:rPr>
        <w:t xml:space="preserve"> 2nd edn. Princeton, NJ: Princeton University Press.</w:t>
      </w:r>
    </w:p>
    <w:p>
      <w:pPr>
        <w:pStyle w:val="ListParagraph"/>
        <w:numPr>
          <w:ilvl w:val="0"/>
          <w:numId w:val="3"/>
        </w:numPr>
        <w:spacing w:after="80"/>
      </w:pPr>
      <w:r>
        <w:rPr>
          <w:rFonts w:ascii="Arial" w:cs="Arial" w:eastAsia="Arial" w:hAnsi="Arial"/>
          <w:color w:val="333333"/>
          <w:sz w:val="22"/>
          <w:szCs w:val="22"/>
        </w:rPr>
        <w:t xml:space="preserve">Chainalysis (2024) </w:t>
      </w:r>
      <w:r>
        <w:rPr>
          <w:rFonts w:ascii="Arial" w:cs="Arial" w:eastAsia="Arial" w:hAnsi="Arial"/>
          <w:i/>
          <w:iCs/>
          <w:color w:val="333333"/>
          <w:sz w:val="22"/>
          <w:szCs w:val="22"/>
        </w:rPr>
        <w:t xml:space="preserve">The 2024 Crypto Crime Report.</w:t>
      </w:r>
      <w:r>
        <w:rPr>
          <w:rFonts w:ascii="Arial" w:cs="Arial" w:eastAsia="Arial" w:hAnsi="Arial"/>
          <w:color w:val="333333"/>
          <w:sz w:val="22"/>
          <w:szCs w:val="22"/>
        </w:rPr>
        <w:t xml:space="preserve"> Available at: https://www.chainalysis.com/reports/ (Accessed: 15 March 2026).</w:t>
      </w:r>
    </w:p>
    <w:p>
      <w:pPr>
        <w:pStyle w:val="ListParagraph"/>
        <w:numPr>
          <w:ilvl w:val="0"/>
          <w:numId w:val="3"/>
        </w:numPr>
        <w:spacing w:after="80"/>
      </w:pPr>
      <w:r>
        <w:rPr>
          <w:rFonts w:ascii="Arial" w:cs="Arial" w:eastAsia="Arial" w:hAnsi="Arial"/>
          <w:color w:val="333333"/>
          <w:sz w:val="22"/>
          <w:szCs w:val="22"/>
        </w:rPr>
        <w:t xml:space="preserve">Antonopoulos, A.M. (2023) </w:t>
      </w:r>
      <w:r>
        <w:rPr>
          <w:rFonts w:ascii="Arial" w:cs="Arial" w:eastAsia="Arial" w:hAnsi="Arial"/>
          <w:i/>
          <w:iCs/>
          <w:color w:val="333333"/>
          <w:sz w:val="22"/>
          <w:szCs w:val="22"/>
        </w:rPr>
        <w:t xml:space="preserve">Mastering Bitcoin: Programming the Open Blockchain.</w:t>
      </w:r>
      <w:r>
        <w:rPr>
          <w:rFonts w:ascii="Arial" w:cs="Arial" w:eastAsia="Arial" w:hAnsi="Arial"/>
          <w:color w:val="333333"/>
          <w:sz w:val="22"/>
          <w:szCs w:val="22"/>
        </w:rPr>
        <w:t xml:space="preserve"> 3rd edn. Sebastopol, CA: O’Reilly Media.</w:t>
      </w:r>
    </w:p>
    <w:p>
      <w:pPr>
        <w:pStyle w:val="ListParagraph"/>
        <w:numPr>
          <w:ilvl w:val="0"/>
          <w:numId w:val="3"/>
        </w:numPr>
        <w:spacing w:after="80"/>
      </w:pPr>
      <w:r>
        <w:rPr>
          <w:rFonts w:ascii="Arial" w:cs="Arial" w:eastAsia="Arial" w:hAnsi="Arial"/>
          <w:color w:val="333333"/>
          <w:sz w:val="22"/>
          <w:szCs w:val="22"/>
        </w:rPr>
        <w:t xml:space="preserve">Werbach, K. (2022) </w:t>
      </w:r>
      <w:r>
        <w:rPr>
          <w:rFonts w:ascii="Arial" w:cs="Arial" w:eastAsia="Arial" w:hAnsi="Arial"/>
          <w:i/>
          <w:iCs/>
          <w:color w:val="333333"/>
          <w:sz w:val="22"/>
          <w:szCs w:val="22"/>
        </w:rPr>
        <w:t xml:space="preserve">The Blockchain and the New Architecture of Trust.</w:t>
      </w:r>
      <w:r>
        <w:rPr>
          <w:rFonts w:ascii="Arial" w:cs="Arial" w:eastAsia="Arial" w:hAnsi="Arial"/>
          <w:color w:val="333333"/>
          <w:sz w:val="22"/>
          <w:szCs w:val="22"/>
        </w:rPr>
        <w:t xml:space="preserve"> Cambridge, MA: MIT Press.</w:t>
      </w:r>
    </w:p>
    <w:p>
      <w:pPr>
        <w:pStyle w:val="ListParagraph"/>
        <w:numPr>
          <w:ilvl w:val="0"/>
          <w:numId w:val="3"/>
        </w:numPr>
        <w:spacing w:after="80"/>
      </w:pPr>
      <w:r>
        <w:rPr>
          <w:rFonts w:ascii="Arial" w:cs="Arial" w:eastAsia="Arial" w:hAnsi="Arial"/>
          <w:color w:val="333333"/>
          <w:sz w:val="22"/>
          <w:szCs w:val="22"/>
        </w:rPr>
        <w:t xml:space="preserve">HM Treasury (2023) </w:t>
      </w:r>
      <w:r>
        <w:rPr>
          <w:rFonts w:ascii="Arial" w:cs="Arial" w:eastAsia="Arial" w:hAnsi="Arial"/>
          <w:i/>
          <w:iCs/>
          <w:color w:val="333333"/>
          <w:sz w:val="22"/>
          <w:szCs w:val="22"/>
        </w:rPr>
        <w:t xml:space="preserve">Future Financial Services Regulatory Regime for Cryptoassets.</w:t>
      </w:r>
      <w:r>
        <w:rPr>
          <w:rFonts w:ascii="Arial" w:cs="Arial" w:eastAsia="Arial" w:hAnsi="Arial"/>
          <w:color w:val="333333"/>
          <w:sz w:val="22"/>
          <w:szCs w:val="22"/>
        </w:rPr>
        <w:t xml:space="preserve"> Available at: https://www.gov.uk/government/consultations/future-financial-services-regulatory-regime-for-cryptoassets (Accessed: 15 March 2026).</w:t>
      </w:r>
    </w:p>
    <w:p>
      <w:pPr>
        <w:pStyle w:val="ListParagraph"/>
        <w:numPr>
          <w:ilvl w:val="0"/>
          <w:numId w:val="3"/>
        </w:numPr>
        <w:spacing w:after="80"/>
      </w:pPr>
      <w:r>
        <w:rPr>
          <w:rFonts w:ascii="Arial" w:cs="Arial" w:eastAsia="Arial" w:hAnsi="Arial"/>
          <w:color w:val="333333"/>
          <w:sz w:val="22"/>
          <w:szCs w:val="22"/>
        </w:rPr>
        <w:t xml:space="preserve">FATF (2023) </w:t>
      </w:r>
      <w:r>
        <w:rPr>
          <w:rFonts w:ascii="Arial" w:cs="Arial" w:eastAsia="Arial" w:hAnsi="Arial"/>
          <w:i/>
          <w:iCs/>
          <w:color w:val="333333"/>
          <w:sz w:val="22"/>
          <w:szCs w:val="22"/>
        </w:rPr>
        <w:t xml:space="preserve">Updated Guidance for a Risk-Based Approach to Virtual Assets and Virtual Asset Service Providers.</w:t>
      </w:r>
      <w:r>
        <w:rPr>
          <w:rFonts w:ascii="Arial" w:cs="Arial" w:eastAsia="Arial" w:hAnsi="Arial"/>
          <w:color w:val="333333"/>
          <w:sz w:val="22"/>
          <w:szCs w:val="22"/>
        </w:rPr>
        <w:t xml:space="preserve"> Paris: Financial Action Task Force.</w:t>
      </w:r>
    </w:p>
    <w:p>
      <w:pPr>
        <w:pStyle w:val="Heading2"/>
      </w:pPr>
      <w:r>
        <w:t xml:space="preserve">Summary</w:t>
      </w:r>
    </w:p>
    <w:p>
      <w:pPr>
        <w:spacing w:after="200"/>
      </w:pPr>
      <w:r>
        <w:rPr>
          <w:rFonts w:ascii="Arial" w:cs="Arial" w:eastAsia="Arial" w:hAnsi="Arial"/>
          <w:color w:val="333333"/>
          <w:sz w:val="22"/>
          <w:szCs w:val="22"/>
        </w:rPr>
        <w:t xml:space="preserve">In this final chapter, you have evaluated the emerging trends and threats from cryptocurrency-related cyber crime. You have examined blockchain and cryptocurrency fundamentals, analysed eight key attack vectors (exchange hacks, smart contract exploits, bridge attacks, phishing, 51% attacks, cryptojacking, ransomware payments, and rug pulls), and studied the FTX collapse as a case study in governance and security failure. You have also examined the evolving regulatory landscape across the UK, EU, US, and globally. Cryptocurrency represents both a significant threat to and a potential enhancement of the broader financial services architecture, and understanding these dynamics is essential for any cyber security professional working in or with the financial sector.</w:t>
      </w:r>
    </w:p>
    <w:p>
      <w:r>
        <w:br w:type="page"/>
      </w:r>
    </w:p>
    <w:p>
      <w:pPr>
        <w:pStyle w:val="Heading1"/>
      </w:pPr>
      <w:r>
        <w:t xml:space="preserve">Glossary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Word / Term</w:t>
            </w:r>
          </w:p>
        </w:tc>
        <w:tc>
          <w:tcPr>
            <w:tcW w:type="dxa" w:w="5826"/>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Explanation</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ATO</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Account Takeover – using stolen credentials to access and control customer accounts.</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Banking Trojan</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Malware specifically designed to steal banking credentials and manipulate online banking sessions.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BEC</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Business Email Compromise – social engineering to authorise fraudulent wire transfers.</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Blockchain</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A distributed ledger of linked, cryptographically secured records (blocks).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Bridge (Cross-chain)</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Protocol enabling transfer of assets between different blockchain networks.</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Carbanak</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Sophisticated cyber crime campaign that stole over $1 billion from 100+ financial institutions.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CBEST</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UK threat-led penetration testing framework for financial institutions.</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Cold Wallet</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Cryptocurrency storage offline, not connected to the internet.</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Cryptojacking</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Malware that hijacks computing resources to mine cryptocurrency.</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DeFi</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Decentralised Finance – financial services built on blockchain without traditional intermediaries.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FCA</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Financial Conduct Authority – UK financial services regulator.</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FPS</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Faster Payments Service – UK near-real-time retail payment system.</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Hot Wallet</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Cryptocurrency storage connected to the internet for active trading.</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Magecart</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A type of web-skimming attack injecting malicious JavaScript to capture payment data.</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MiCA</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Markets in Crypto-Assets – EU comprehensive cryptocurrency regulation.</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Money Mule</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Person who transfers stolen funds on behalf of cyber criminals.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PCI DSS</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Payment Card Industry Data Security Standard.</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QSA</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Qualified Security Assessor – certified to assess PCI DSS compliance.</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Ransomware</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Malware that encrypts data and demands cryptocurrency payment.</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Rug Pull</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Cryptocurrency fraud where creators abandon a project and abscond with investor funds.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Smart Contract</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Self-executing code on a blockchain that automatically enforces contract terms.</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Stablecoin</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Cryptocurrency pegged to a fiat currency to reduce price volatility.</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SWIFT</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Society for Worldwide Interbank Financial Telecommunication – global banking messaging network.</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TINBA</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TinyBanker Trojan – a 20KB banking trojan with form grabbing and web injection capabilities.</w:t>
            </w:r>
          </w:p>
        </w:tc>
      </w:tr>
      <w:tr>
        <w:tc>
          <w:tcPr>
            <w:tcW w:type="dxa" w:w="32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333333"/>
                <w:sz w:val="22"/>
                <w:szCs w:val="22"/>
              </w:rPr>
              <w:t xml:space="preserve">Tokenisation</w:t>
            </w:r>
          </w:p>
        </w:tc>
        <w:tc>
          <w:tcPr>
            <w:tcW w:type="dxa" w:w="5826"/>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color w:val="333333"/>
                <w:sz w:val="22"/>
                <w:szCs w:val="22"/>
              </w:rPr>
              <w:t xml:space="preserve">Replacing sensitive card data with non-sensitive tokens for secure processing.</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333333"/>
                <w:sz w:val="22"/>
                <w:szCs w:val="22"/>
              </w:rPr>
              <w:t xml:space="preserve">Zeus</w:t>
            </w:r>
          </w:p>
        </w:tc>
        <w:tc>
          <w:tcPr>
            <w:tcW w:type="dxa" w:w="5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2"/>
                <w:szCs w:val="22"/>
              </w:rPr>
              <w:t xml:space="preserve">One of the most influential banking trojans, first identified in 2007.</w:t>
            </w:r>
          </w:p>
        </w:tc>
      </w:tr>
    </w:tbl>
    <w:p>
      <w:r>
        <w:br w:type="page"/>
      </w:r>
    </w:p>
    <w:p>
      <w:pPr>
        <w:pStyle w:val="Heading1"/>
      </w:pPr>
      <w:r>
        <w:t xml:space="preserve">MCQs and True &amp; False Questions (self-assessment)</w:t>
      </w:r>
    </w:p>
    <w:p>
      <w:pPr>
        <w:pStyle w:val="Heading2"/>
      </w:pPr>
      <w:r>
        <w:t xml:space="preserve">True or False Questions</w:t>
      </w:r>
    </w:p>
    <w:p>
      <w:pPr>
        <w:spacing w:after="80"/>
      </w:pPr>
      <w:r>
        <w:rPr>
          <w:rFonts w:ascii="Arial" w:cs="Arial" w:eastAsia="Arial" w:hAnsi="Arial"/>
          <w:color w:val="333333"/>
          <w:sz w:val="22"/>
          <w:szCs w:val="22"/>
        </w:rPr>
        <w:t xml:space="preserve">1. Financial services is the most heavily targeted sector for cyber attacks.</w:t>
      </w:r>
    </w:p>
    <w:p>
      <w:pPr>
        <w:spacing w:after="80"/>
      </w:pPr>
      <w:r>
        <w:rPr>
          <w:rFonts w:ascii="Arial" w:cs="Arial" w:eastAsia="Arial" w:hAnsi="Arial"/>
          <w:color w:val="333333"/>
          <w:sz w:val="22"/>
          <w:szCs w:val="22"/>
        </w:rPr>
        <w:t xml:space="preserve">2. The Zeus trojan was first identified in 2012.</w:t>
      </w:r>
    </w:p>
    <w:p>
      <w:pPr>
        <w:spacing w:after="80"/>
      </w:pPr>
      <w:r>
        <w:rPr>
          <w:rFonts w:ascii="Arial" w:cs="Arial" w:eastAsia="Arial" w:hAnsi="Arial"/>
          <w:color w:val="333333"/>
          <w:sz w:val="22"/>
          <w:szCs w:val="22"/>
        </w:rPr>
        <w:t xml:space="preserve">3. TINBA was notable for its extremely small file size of approximately 20KB.</w:t>
      </w:r>
    </w:p>
    <w:p>
      <w:pPr>
        <w:spacing w:after="80"/>
      </w:pPr>
      <w:r>
        <w:rPr>
          <w:rFonts w:ascii="Arial" w:cs="Arial" w:eastAsia="Arial" w:hAnsi="Arial"/>
          <w:color w:val="333333"/>
          <w:sz w:val="22"/>
          <w:szCs w:val="22"/>
        </w:rPr>
        <w:t xml:space="preserve">4. The Carbanak campaign targeted individual bank customers rather than banks themselves.</w:t>
      </w:r>
    </w:p>
    <w:p>
      <w:pPr>
        <w:spacing w:after="80"/>
      </w:pPr>
      <w:r>
        <w:rPr>
          <w:rFonts w:ascii="Arial" w:cs="Arial" w:eastAsia="Arial" w:hAnsi="Arial"/>
          <w:color w:val="333333"/>
          <w:sz w:val="22"/>
          <w:szCs w:val="22"/>
        </w:rPr>
        <w:t xml:space="preserve">5. The Bangladesh Bank heist successfully stole $951 million.</w:t>
      </w:r>
    </w:p>
    <w:p>
      <w:pPr>
        <w:spacing w:after="80"/>
      </w:pPr>
      <w:r>
        <w:rPr>
          <w:rFonts w:ascii="Arial" w:cs="Arial" w:eastAsia="Arial" w:hAnsi="Arial"/>
          <w:color w:val="333333"/>
          <w:sz w:val="22"/>
          <w:szCs w:val="22"/>
        </w:rPr>
        <w:t xml:space="preserve">6. SWIFT processes approximately 42 million financial messages per day.</w:t>
      </w:r>
    </w:p>
    <w:p>
      <w:pPr>
        <w:spacing w:after="80"/>
      </w:pPr>
      <w:r>
        <w:rPr>
          <w:rFonts w:ascii="Arial" w:cs="Arial" w:eastAsia="Arial" w:hAnsi="Arial"/>
          <w:color w:val="333333"/>
          <w:sz w:val="22"/>
          <w:szCs w:val="22"/>
        </w:rPr>
        <w:t xml:space="preserve">7. PCI DSS v4.0 has 12 requirements.</w:t>
      </w:r>
    </w:p>
    <w:p>
      <w:pPr>
        <w:spacing w:after="80"/>
      </w:pPr>
      <w:r>
        <w:rPr>
          <w:rFonts w:ascii="Arial" w:cs="Arial" w:eastAsia="Arial" w:hAnsi="Arial"/>
          <w:color w:val="333333"/>
          <w:sz w:val="22"/>
          <w:szCs w:val="22"/>
        </w:rPr>
        <w:t xml:space="preserve">8. A Level 1 PCI DSS merchant processes over 6 million transactions per year.</w:t>
      </w:r>
    </w:p>
    <w:p>
      <w:pPr>
        <w:spacing w:after="80"/>
      </w:pPr>
      <w:r>
        <w:rPr>
          <w:rFonts w:ascii="Arial" w:cs="Arial" w:eastAsia="Arial" w:hAnsi="Arial"/>
          <w:color w:val="333333"/>
          <w:sz w:val="22"/>
          <w:szCs w:val="22"/>
        </w:rPr>
        <w:t xml:space="preserve">9. Open banking requires banks to share customer data without consent.</w:t>
      </w:r>
    </w:p>
    <w:p>
      <w:pPr>
        <w:spacing w:after="80"/>
      </w:pPr>
      <w:r>
        <w:rPr>
          <w:rFonts w:ascii="Arial" w:cs="Arial" w:eastAsia="Arial" w:hAnsi="Arial"/>
          <w:color w:val="333333"/>
          <w:sz w:val="22"/>
          <w:szCs w:val="22"/>
        </w:rPr>
        <w:t xml:space="preserve">10. Magecart attacks inject malicious JavaScript into web payment pages.</w:t>
      </w:r>
    </w:p>
    <w:p>
      <w:pPr>
        <w:spacing w:after="80"/>
      </w:pPr>
      <w:r>
        <w:rPr>
          <w:rFonts w:ascii="Arial" w:cs="Arial" w:eastAsia="Arial" w:hAnsi="Arial"/>
          <w:color w:val="333333"/>
          <w:sz w:val="22"/>
          <w:szCs w:val="22"/>
        </w:rPr>
        <w:t xml:space="preserve">11. A blockchain is a centralised database managed by a single authority.</w:t>
      </w:r>
    </w:p>
    <w:p>
      <w:pPr>
        <w:spacing w:after="80"/>
      </w:pPr>
      <w:r>
        <w:rPr>
          <w:rFonts w:ascii="Arial" w:cs="Arial" w:eastAsia="Arial" w:hAnsi="Arial"/>
          <w:color w:val="333333"/>
          <w:sz w:val="22"/>
          <w:szCs w:val="22"/>
        </w:rPr>
        <w:t xml:space="preserve">12. The FTX collapse resulted in losses exceeding $8 billion for customers.</w:t>
      </w:r>
    </w:p>
    <w:p>
      <w:pPr>
        <w:spacing w:after="80"/>
      </w:pPr>
      <w:r>
        <w:rPr>
          <w:rFonts w:ascii="Arial" w:cs="Arial" w:eastAsia="Arial" w:hAnsi="Arial"/>
          <w:color w:val="333333"/>
          <w:sz w:val="22"/>
          <w:szCs w:val="22"/>
        </w:rPr>
        <w:t xml:space="preserve">13. Cold wallets are connected to the internet for active trading.</w:t>
      </w:r>
    </w:p>
    <w:p>
      <w:pPr>
        <w:spacing w:after="80"/>
      </w:pPr>
      <w:r>
        <w:rPr>
          <w:rFonts w:ascii="Arial" w:cs="Arial" w:eastAsia="Arial" w:hAnsi="Arial"/>
          <w:color w:val="333333"/>
          <w:sz w:val="22"/>
          <w:szCs w:val="22"/>
        </w:rPr>
        <w:t xml:space="preserve">14. North Korea’s Lazarus Group has been linked to major cryptocurrency thefts.</w:t>
      </w:r>
    </w:p>
    <w:p>
      <w:pPr>
        <w:spacing w:after="80"/>
      </w:pPr>
      <w:r>
        <w:rPr>
          <w:rFonts w:ascii="Arial" w:cs="Arial" w:eastAsia="Arial" w:hAnsi="Arial"/>
          <w:color w:val="333333"/>
          <w:sz w:val="22"/>
          <w:szCs w:val="22"/>
        </w:rPr>
        <w:t xml:space="preserve">15. MiCA is the EU’s comprehensive cryptocurrency regulatory framework.</w:t>
      </w:r>
    </w:p>
    <w:p>
      <w:pPr>
        <w:spacing w:after="80"/>
      </w:pPr>
      <w:r>
        <w:rPr>
          <w:rFonts w:ascii="Arial" w:cs="Arial" w:eastAsia="Arial" w:hAnsi="Arial"/>
          <w:color w:val="333333"/>
          <w:sz w:val="22"/>
          <w:szCs w:val="22"/>
        </w:rPr>
        <w:t xml:space="preserve">16. A 51% attack requires controlling more than half of a blockchain’s mining power.</w:t>
      </w:r>
    </w:p>
    <w:p>
      <w:pPr>
        <w:spacing w:after="80"/>
      </w:pPr>
      <w:r>
        <w:rPr>
          <w:rFonts w:ascii="Arial" w:cs="Arial" w:eastAsia="Arial" w:hAnsi="Arial"/>
          <w:color w:val="333333"/>
          <w:sz w:val="22"/>
          <w:szCs w:val="22"/>
        </w:rPr>
        <w:t xml:space="preserve">17. Ransomware payments are typically demanded in traditional bank transfers.</w:t>
      </w:r>
    </w:p>
    <w:p>
      <w:pPr>
        <w:spacing w:after="80"/>
      </w:pPr>
      <w:r>
        <w:rPr>
          <w:rFonts w:ascii="Arial" w:cs="Arial" w:eastAsia="Arial" w:hAnsi="Arial"/>
          <w:color w:val="333333"/>
          <w:sz w:val="22"/>
          <w:szCs w:val="22"/>
        </w:rPr>
        <w:t xml:space="preserve">18. The British Airways breach was caused by a Magecart-style JavaScript injection.</w:t>
      </w:r>
    </w:p>
    <w:p>
      <w:pPr>
        <w:spacing w:after="80"/>
      </w:pPr>
      <w:r>
        <w:rPr>
          <w:rFonts w:ascii="Arial" w:cs="Arial" w:eastAsia="Arial" w:hAnsi="Arial"/>
          <w:color w:val="333333"/>
          <w:sz w:val="22"/>
          <w:szCs w:val="22"/>
        </w:rPr>
        <w:t xml:space="preserve">19. CBEST is a threat-led penetration testing framework for UK financial institutions.</w:t>
      </w:r>
    </w:p>
    <w:p>
      <w:pPr>
        <w:spacing w:after="80"/>
      </w:pPr>
      <w:r>
        <w:rPr>
          <w:rFonts w:ascii="Arial" w:cs="Arial" w:eastAsia="Arial" w:hAnsi="Arial"/>
          <w:color w:val="333333"/>
          <w:sz w:val="22"/>
          <w:szCs w:val="22"/>
        </w:rPr>
        <w:t xml:space="preserve">20. Smart contracts can be easily patched after deployment on the blockchain.</w:t>
      </w:r>
    </w:p>
    <w:p>
      <w:pPr>
        <w:spacing w:after="80"/>
      </w:pPr>
      <w:r>
        <w:rPr>
          <w:rFonts w:ascii="Arial" w:cs="Arial" w:eastAsia="Arial" w:hAnsi="Arial"/>
          <w:color w:val="333333"/>
          <w:sz w:val="22"/>
          <w:szCs w:val="22"/>
        </w:rPr>
        <w:t xml:space="preserve">21. The FATF travel rule requires sharing sender/recipient information for certain crypto transfers.</w:t>
      </w:r>
    </w:p>
    <w:p>
      <w:pPr>
        <w:spacing w:after="80"/>
      </w:pPr>
      <w:r>
        <w:rPr>
          <w:rFonts w:ascii="Arial" w:cs="Arial" w:eastAsia="Arial" w:hAnsi="Arial"/>
          <w:color w:val="333333"/>
          <w:sz w:val="22"/>
          <w:szCs w:val="22"/>
        </w:rPr>
        <w:t xml:space="preserve">22. BEC attacks have caused estimated global losses exceeding $43 billion.</w:t>
      </w:r>
    </w:p>
    <w:p>
      <w:pPr>
        <w:spacing w:after="80"/>
      </w:pPr>
      <w:r>
        <w:rPr>
          <w:rFonts w:ascii="Arial" w:cs="Arial" w:eastAsia="Arial" w:hAnsi="Arial"/>
          <w:color w:val="333333"/>
          <w:sz w:val="22"/>
          <w:szCs w:val="22"/>
        </w:rPr>
        <w:t xml:space="preserve">23. The Ronin Network bridge attack in 2022 resulted in the theft of $620 million.</w:t>
      </w:r>
    </w:p>
    <w:p>
      <w:pPr>
        <w:spacing w:after="80"/>
      </w:pPr>
      <w:r>
        <w:rPr>
          <w:rFonts w:ascii="Arial" w:cs="Arial" w:eastAsia="Arial" w:hAnsi="Arial"/>
          <w:color w:val="333333"/>
          <w:sz w:val="22"/>
          <w:szCs w:val="22"/>
        </w:rPr>
        <w:t xml:space="preserve">24. Cryptojacking directly steals money from victims’ bank accounts.</w:t>
      </w:r>
    </w:p>
    <w:p>
      <w:pPr>
        <w:spacing w:after="80"/>
      </w:pPr>
      <w:r>
        <w:rPr>
          <w:rFonts w:ascii="Arial" w:cs="Arial" w:eastAsia="Arial" w:hAnsi="Arial"/>
          <w:color w:val="333333"/>
          <w:sz w:val="22"/>
          <w:szCs w:val="22"/>
        </w:rPr>
        <w:t xml:space="preserve">25. The FCA requires UK cryptocurrency firms to register for AML compliance.</w:t>
      </w:r>
    </w:p>
    <w:p>
      <w:pPr>
        <w:pStyle w:val="Heading2"/>
        <w:spacing w:before="200"/>
      </w:pPr>
      <w:r>
        <w:t xml:space="preserve">Multiple Choice Questions</w:t>
      </w:r>
    </w:p>
    <w:p>
      <w:pPr>
        <w:spacing w:after="60" w:before="120"/>
      </w:pPr>
      <w:r>
        <w:rPr>
          <w:rFonts w:ascii="Arial" w:cs="Arial" w:eastAsia="Arial" w:hAnsi="Arial"/>
          <w:b/>
          <w:bCs/>
          <w:color w:val="333333"/>
          <w:sz w:val="22"/>
          <w:szCs w:val="22"/>
        </w:rPr>
        <w:t xml:space="preserve">1. Which banking trojan was approximately 20KB in size?</w:t>
      </w:r>
    </w:p>
    <w:p>
      <w:r>
        <w:rPr>
          <w:rFonts w:ascii="Arial" w:cs="Arial" w:eastAsia="Arial" w:hAnsi="Arial"/>
          <w:color w:val="333333"/>
          <w:sz w:val="22"/>
          <w:szCs w:val="22"/>
        </w:rPr>
        <w:t xml:space="preserve">A. Zeus</w:t>
      </w:r>
    </w:p>
    <w:p>
      <w:r>
        <w:rPr>
          <w:rFonts w:ascii="Arial" w:cs="Arial" w:eastAsia="Arial" w:hAnsi="Arial"/>
          <w:color w:val="333333"/>
          <w:sz w:val="22"/>
          <w:szCs w:val="22"/>
        </w:rPr>
        <w:t xml:space="preserve">B. Carbanak</w:t>
      </w:r>
    </w:p>
    <w:p>
      <w:r>
        <w:rPr>
          <w:rFonts w:ascii="Arial" w:cs="Arial" w:eastAsia="Arial" w:hAnsi="Arial"/>
          <w:color w:val="333333"/>
          <w:sz w:val="22"/>
          <w:szCs w:val="22"/>
        </w:rPr>
        <w:t xml:space="preserve">C. TINBA</w:t>
      </w:r>
    </w:p>
    <w:p>
      <w:r>
        <w:rPr>
          <w:rFonts w:ascii="Arial" w:cs="Arial" w:eastAsia="Arial" w:hAnsi="Arial"/>
          <w:color w:val="333333"/>
          <w:sz w:val="22"/>
          <w:szCs w:val="22"/>
        </w:rPr>
        <w:t xml:space="preserve">D. SpyEye</w:t>
      </w:r>
    </w:p>
    <w:p>
      <w:pPr>
        <w:spacing w:after="120"/>
      </w:pPr>
    </w:p>
    <w:p>
      <w:pPr>
        <w:spacing w:after="60" w:before="120"/>
      </w:pPr>
      <w:r>
        <w:rPr>
          <w:rFonts w:ascii="Arial" w:cs="Arial" w:eastAsia="Arial" w:hAnsi="Arial"/>
          <w:b/>
          <w:bCs/>
          <w:color w:val="333333"/>
          <w:sz w:val="22"/>
          <w:szCs w:val="22"/>
        </w:rPr>
        <w:t xml:space="preserve">2. The Carbanak campaign stole approximately:</w:t>
      </w:r>
    </w:p>
    <w:p>
      <w:r>
        <w:rPr>
          <w:rFonts w:ascii="Arial" w:cs="Arial" w:eastAsia="Arial" w:hAnsi="Arial"/>
          <w:color w:val="333333"/>
          <w:sz w:val="22"/>
          <w:szCs w:val="22"/>
        </w:rPr>
        <w:t xml:space="preserve">A. $10 million</w:t>
      </w:r>
    </w:p>
    <w:p>
      <w:r>
        <w:rPr>
          <w:rFonts w:ascii="Arial" w:cs="Arial" w:eastAsia="Arial" w:hAnsi="Arial"/>
          <w:color w:val="333333"/>
          <w:sz w:val="22"/>
          <w:szCs w:val="22"/>
        </w:rPr>
        <w:t xml:space="preserve">B. $100 million</w:t>
      </w:r>
    </w:p>
    <w:p>
      <w:r>
        <w:rPr>
          <w:rFonts w:ascii="Arial" w:cs="Arial" w:eastAsia="Arial" w:hAnsi="Arial"/>
          <w:color w:val="333333"/>
          <w:sz w:val="22"/>
          <w:szCs w:val="22"/>
        </w:rPr>
        <w:t xml:space="preserve">C. $1 billion</w:t>
      </w:r>
    </w:p>
    <w:p>
      <w:r>
        <w:rPr>
          <w:rFonts w:ascii="Arial" w:cs="Arial" w:eastAsia="Arial" w:hAnsi="Arial"/>
          <w:color w:val="333333"/>
          <w:sz w:val="22"/>
          <w:szCs w:val="22"/>
        </w:rPr>
        <w:t xml:space="preserve">D. $10 billion</w:t>
      </w:r>
    </w:p>
    <w:p>
      <w:pPr>
        <w:spacing w:after="120"/>
      </w:pPr>
    </w:p>
    <w:p>
      <w:pPr>
        <w:spacing w:after="60" w:before="120"/>
      </w:pPr>
      <w:r>
        <w:rPr>
          <w:rFonts w:ascii="Arial" w:cs="Arial" w:eastAsia="Arial" w:hAnsi="Arial"/>
          <w:b/>
          <w:bCs/>
          <w:color w:val="333333"/>
          <w:sz w:val="22"/>
          <w:szCs w:val="22"/>
        </w:rPr>
        <w:t xml:space="preserve">3. How many PCI DSS requirements are there in v4.0?</w:t>
      </w:r>
    </w:p>
    <w:p>
      <w:r>
        <w:rPr>
          <w:rFonts w:ascii="Arial" w:cs="Arial" w:eastAsia="Arial" w:hAnsi="Arial"/>
          <w:color w:val="333333"/>
          <w:sz w:val="22"/>
          <w:szCs w:val="22"/>
        </w:rPr>
        <w:t xml:space="preserve">A. 6</w:t>
      </w:r>
    </w:p>
    <w:p>
      <w:r>
        <w:rPr>
          <w:rFonts w:ascii="Arial" w:cs="Arial" w:eastAsia="Arial" w:hAnsi="Arial"/>
          <w:color w:val="333333"/>
          <w:sz w:val="22"/>
          <w:szCs w:val="22"/>
        </w:rPr>
        <w:t xml:space="preserve">B. 10</w:t>
      </w:r>
    </w:p>
    <w:p>
      <w:r>
        <w:rPr>
          <w:rFonts w:ascii="Arial" w:cs="Arial" w:eastAsia="Arial" w:hAnsi="Arial"/>
          <w:color w:val="333333"/>
          <w:sz w:val="22"/>
          <w:szCs w:val="22"/>
        </w:rPr>
        <w:t xml:space="preserve">C. 12</w:t>
      </w:r>
    </w:p>
    <w:p>
      <w:r>
        <w:rPr>
          <w:rFonts w:ascii="Arial" w:cs="Arial" w:eastAsia="Arial" w:hAnsi="Arial"/>
          <w:color w:val="333333"/>
          <w:sz w:val="22"/>
          <w:szCs w:val="22"/>
        </w:rPr>
        <w:t xml:space="preserve">D. 15</w:t>
      </w:r>
    </w:p>
    <w:p>
      <w:pPr>
        <w:spacing w:after="120"/>
      </w:pPr>
    </w:p>
    <w:p>
      <w:pPr>
        <w:spacing w:after="60" w:before="120"/>
      </w:pPr>
      <w:r>
        <w:rPr>
          <w:rFonts w:ascii="Arial" w:cs="Arial" w:eastAsia="Arial" w:hAnsi="Arial"/>
          <w:b/>
          <w:bCs/>
          <w:color w:val="333333"/>
          <w:sz w:val="22"/>
          <w:szCs w:val="22"/>
        </w:rPr>
        <w:t xml:space="preserve">4. SWIFT stands for:</w:t>
      </w:r>
    </w:p>
    <w:p>
      <w:r>
        <w:rPr>
          <w:rFonts w:ascii="Arial" w:cs="Arial" w:eastAsia="Arial" w:hAnsi="Arial"/>
          <w:color w:val="333333"/>
          <w:sz w:val="22"/>
          <w:szCs w:val="22"/>
        </w:rPr>
        <w:t xml:space="preserve">A. Secure Worldwide Information Financial Transfer</w:t>
      </w:r>
    </w:p>
    <w:p>
      <w:r>
        <w:rPr>
          <w:rFonts w:ascii="Arial" w:cs="Arial" w:eastAsia="Arial" w:hAnsi="Arial"/>
          <w:color w:val="333333"/>
          <w:sz w:val="22"/>
          <w:szCs w:val="22"/>
        </w:rPr>
        <w:t xml:space="preserve">B. Society for Worldwide Interbank Financial Telecommunication</w:t>
      </w:r>
    </w:p>
    <w:p>
      <w:r>
        <w:rPr>
          <w:rFonts w:ascii="Arial" w:cs="Arial" w:eastAsia="Arial" w:hAnsi="Arial"/>
          <w:color w:val="333333"/>
          <w:sz w:val="22"/>
          <w:szCs w:val="22"/>
        </w:rPr>
        <w:t xml:space="preserve">C. Standard Worldwide Internet Financial Technology</w:t>
      </w:r>
    </w:p>
    <w:p>
      <w:r>
        <w:rPr>
          <w:rFonts w:ascii="Arial" w:cs="Arial" w:eastAsia="Arial" w:hAnsi="Arial"/>
          <w:color w:val="333333"/>
          <w:sz w:val="22"/>
          <w:szCs w:val="22"/>
        </w:rPr>
        <w:t xml:space="preserve">D. Secure Web Interface for Financial Transactions</w:t>
      </w:r>
    </w:p>
    <w:p>
      <w:pPr>
        <w:spacing w:after="120"/>
      </w:pPr>
    </w:p>
    <w:p>
      <w:pPr>
        <w:spacing w:after="60" w:before="120"/>
      </w:pPr>
      <w:r>
        <w:rPr>
          <w:rFonts w:ascii="Arial" w:cs="Arial" w:eastAsia="Arial" w:hAnsi="Arial"/>
          <w:b/>
          <w:bCs/>
          <w:color w:val="333333"/>
          <w:sz w:val="22"/>
          <w:szCs w:val="22"/>
        </w:rPr>
        <w:t xml:space="preserve">5. The Bangladesh Bank heist exploited vulnerabilities in:</w:t>
      </w:r>
    </w:p>
    <w:p>
      <w:r>
        <w:rPr>
          <w:rFonts w:ascii="Arial" w:cs="Arial" w:eastAsia="Arial" w:hAnsi="Arial"/>
          <w:color w:val="333333"/>
          <w:sz w:val="22"/>
          <w:szCs w:val="22"/>
        </w:rPr>
        <w:t xml:space="preserve">A. Customer mobile apps</w:t>
      </w:r>
    </w:p>
    <w:p>
      <w:r>
        <w:rPr>
          <w:rFonts w:ascii="Arial" w:cs="Arial" w:eastAsia="Arial" w:hAnsi="Arial"/>
          <w:color w:val="333333"/>
          <w:sz w:val="22"/>
          <w:szCs w:val="22"/>
        </w:rPr>
        <w:t xml:space="preserve">B. SWIFT terminal security</w:t>
      </w:r>
    </w:p>
    <w:p>
      <w:r>
        <w:rPr>
          <w:rFonts w:ascii="Arial" w:cs="Arial" w:eastAsia="Arial" w:hAnsi="Arial"/>
          <w:color w:val="333333"/>
          <w:sz w:val="22"/>
          <w:szCs w:val="22"/>
        </w:rPr>
        <w:t xml:space="preserve">C. ATM networks</w:t>
      </w:r>
    </w:p>
    <w:p>
      <w:r>
        <w:rPr>
          <w:rFonts w:ascii="Arial" w:cs="Arial" w:eastAsia="Arial" w:hAnsi="Arial"/>
          <w:color w:val="333333"/>
          <w:sz w:val="22"/>
          <w:szCs w:val="22"/>
        </w:rPr>
        <w:t xml:space="preserve">D. Credit card processing</w:t>
      </w:r>
    </w:p>
    <w:p>
      <w:pPr>
        <w:spacing w:after="120"/>
      </w:pPr>
    </w:p>
    <w:p>
      <w:pPr>
        <w:spacing w:after="60" w:before="120"/>
      </w:pPr>
      <w:r>
        <w:rPr>
          <w:rFonts w:ascii="Arial" w:cs="Arial" w:eastAsia="Arial" w:hAnsi="Arial"/>
          <w:b/>
          <w:bCs/>
          <w:color w:val="333333"/>
          <w:sz w:val="22"/>
          <w:szCs w:val="22"/>
        </w:rPr>
        <w:t xml:space="preserve">6. A Magecart attack primarily targets:</w:t>
      </w:r>
    </w:p>
    <w:p>
      <w:r>
        <w:rPr>
          <w:rFonts w:ascii="Arial" w:cs="Arial" w:eastAsia="Arial" w:hAnsi="Arial"/>
          <w:color w:val="333333"/>
          <w:sz w:val="22"/>
          <w:szCs w:val="22"/>
        </w:rPr>
        <w:t xml:space="preserve">A. ATM machines</w:t>
      </w:r>
    </w:p>
    <w:p>
      <w:r>
        <w:rPr>
          <w:rFonts w:ascii="Arial" w:cs="Arial" w:eastAsia="Arial" w:hAnsi="Arial"/>
          <w:color w:val="333333"/>
          <w:sz w:val="22"/>
          <w:szCs w:val="22"/>
        </w:rPr>
        <w:t xml:space="preserve">B. SWIFT networks</w:t>
      </w:r>
    </w:p>
    <w:p>
      <w:r>
        <w:rPr>
          <w:rFonts w:ascii="Arial" w:cs="Arial" w:eastAsia="Arial" w:hAnsi="Arial"/>
          <w:color w:val="333333"/>
          <w:sz w:val="22"/>
          <w:szCs w:val="22"/>
        </w:rPr>
        <w:t xml:space="preserve">C. Web payment pages</w:t>
      </w:r>
    </w:p>
    <w:p>
      <w:r>
        <w:rPr>
          <w:rFonts w:ascii="Arial" w:cs="Arial" w:eastAsia="Arial" w:hAnsi="Arial"/>
          <w:color w:val="333333"/>
          <w:sz w:val="22"/>
          <w:szCs w:val="22"/>
        </w:rPr>
        <w:t xml:space="preserve">D. Mobile banking apps</w:t>
      </w:r>
    </w:p>
    <w:p>
      <w:pPr>
        <w:spacing w:after="120"/>
      </w:pPr>
    </w:p>
    <w:p>
      <w:pPr>
        <w:spacing w:after="60" w:before="120"/>
      </w:pPr>
      <w:r>
        <w:rPr>
          <w:rFonts w:ascii="Arial" w:cs="Arial" w:eastAsia="Arial" w:hAnsi="Arial"/>
          <w:b/>
          <w:bCs/>
          <w:color w:val="333333"/>
          <w:sz w:val="22"/>
          <w:szCs w:val="22"/>
        </w:rPr>
        <w:t xml:space="preserve">7. Which group was linked to the Ronin Network bridge attack?</w:t>
      </w:r>
    </w:p>
    <w:p>
      <w:r>
        <w:rPr>
          <w:rFonts w:ascii="Arial" w:cs="Arial" w:eastAsia="Arial" w:hAnsi="Arial"/>
          <w:color w:val="333333"/>
          <w:sz w:val="22"/>
          <w:szCs w:val="22"/>
        </w:rPr>
        <w:t xml:space="preserve">A. Anonymous</w:t>
      </w:r>
    </w:p>
    <w:p>
      <w:r>
        <w:rPr>
          <w:rFonts w:ascii="Arial" w:cs="Arial" w:eastAsia="Arial" w:hAnsi="Arial"/>
          <w:color w:val="333333"/>
          <w:sz w:val="22"/>
          <w:szCs w:val="22"/>
        </w:rPr>
        <w:t xml:space="preserve">B. Carbanak</w:t>
      </w:r>
    </w:p>
    <w:p>
      <w:r>
        <w:rPr>
          <w:rFonts w:ascii="Arial" w:cs="Arial" w:eastAsia="Arial" w:hAnsi="Arial"/>
          <w:color w:val="333333"/>
          <w:sz w:val="22"/>
          <w:szCs w:val="22"/>
        </w:rPr>
        <w:t xml:space="preserve">C. Lazarus Group</w:t>
      </w:r>
    </w:p>
    <w:p>
      <w:r>
        <w:rPr>
          <w:rFonts w:ascii="Arial" w:cs="Arial" w:eastAsia="Arial" w:hAnsi="Arial"/>
          <w:color w:val="333333"/>
          <w:sz w:val="22"/>
          <w:szCs w:val="22"/>
        </w:rPr>
        <w:t xml:space="preserve">D. REvil</w:t>
      </w:r>
    </w:p>
    <w:p>
      <w:pPr>
        <w:spacing w:after="120"/>
      </w:pPr>
    </w:p>
    <w:p>
      <w:pPr>
        <w:spacing w:after="60" w:before="120"/>
      </w:pPr>
      <w:r>
        <w:rPr>
          <w:rFonts w:ascii="Arial" w:cs="Arial" w:eastAsia="Arial" w:hAnsi="Arial"/>
          <w:b/>
          <w:bCs/>
          <w:color w:val="333333"/>
          <w:sz w:val="22"/>
          <w:szCs w:val="22"/>
        </w:rPr>
        <w:t xml:space="preserve">8. PCI DSS Level 1 merchants must:</w:t>
      </w:r>
    </w:p>
    <w:p>
      <w:r>
        <w:rPr>
          <w:rFonts w:ascii="Arial" w:cs="Arial" w:eastAsia="Arial" w:hAnsi="Arial"/>
          <w:color w:val="333333"/>
          <w:sz w:val="22"/>
          <w:szCs w:val="22"/>
        </w:rPr>
        <w:t xml:space="preserve">A. Complete a self-assessment only</w:t>
      </w:r>
    </w:p>
    <w:p>
      <w:r>
        <w:rPr>
          <w:rFonts w:ascii="Arial" w:cs="Arial" w:eastAsia="Arial" w:hAnsi="Arial"/>
          <w:color w:val="333333"/>
          <w:sz w:val="22"/>
          <w:szCs w:val="22"/>
        </w:rPr>
        <w:t xml:space="preserve">B. Have an annual QSA assessment</w:t>
      </w:r>
    </w:p>
    <w:p>
      <w:r>
        <w:rPr>
          <w:rFonts w:ascii="Arial" w:cs="Arial" w:eastAsia="Arial" w:hAnsi="Arial"/>
          <w:color w:val="333333"/>
          <w:sz w:val="22"/>
          <w:szCs w:val="22"/>
        </w:rPr>
        <w:t xml:space="preserve">C. Only implement firewalls</w:t>
      </w:r>
    </w:p>
    <w:p>
      <w:r>
        <w:rPr>
          <w:rFonts w:ascii="Arial" w:cs="Arial" w:eastAsia="Arial" w:hAnsi="Arial"/>
          <w:color w:val="333333"/>
          <w:sz w:val="22"/>
          <w:szCs w:val="22"/>
        </w:rPr>
        <w:t xml:space="preserve">D. Report to the FCA</w:t>
      </w:r>
    </w:p>
    <w:p>
      <w:pPr>
        <w:spacing w:after="120"/>
      </w:pPr>
    </w:p>
    <w:p>
      <w:pPr>
        <w:spacing w:after="60" w:before="120"/>
      </w:pPr>
      <w:r>
        <w:rPr>
          <w:rFonts w:ascii="Arial" w:cs="Arial" w:eastAsia="Arial" w:hAnsi="Arial"/>
          <w:b/>
          <w:bCs/>
          <w:color w:val="333333"/>
          <w:sz w:val="22"/>
          <w:szCs w:val="22"/>
        </w:rPr>
        <w:t xml:space="preserve">9. MiCA was introduced by:</w:t>
      </w:r>
    </w:p>
    <w:p>
      <w:r>
        <w:rPr>
          <w:rFonts w:ascii="Arial" w:cs="Arial" w:eastAsia="Arial" w:hAnsi="Arial"/>
          <w:color w:val="333333"/>
          <w:sz w:val="22"/>
          <w:szCs w:val="22"/>
        </w:rPr>
        <w:t xml:space="preserve">A. The UK Government</w:t>
      </w:r>
    </w:p>
    <w:p>
      <w:r>
        <w:rPr>
          <w:rFonts w:ascii="Arial" w:cs="Arial" w:eastAsia="Arial" w:hAnsi="Arial"/>
          <w:color w:val="333333"/>
          <w:sz w:val="22"/>
          <w:szCs w:val="22"/>
        </w:rPr>
        <w:t xml:space="preserve">B. The European Union</w:t>
      </w:r>
    </w:p>
    <w:p>
      <w:r>
        <w:rPr>
          <w:rFonts w:ascii="Arial" w:cs="Arial" w:eastAsia="Arial" w:hAnsi="Arial"/>
          <w:color w:val="333333"/>
          <w:sz w:val="22"/>
          <w:szCs w:val="22"/>
        </w:rPr>
        <w:t xml:space="preserve">C. The United States</w:t>
      </w:r>
    </w:p>
    <w:p>
      <w:r>
        <w:rPr>
          <w:rFonts w:ascii="Arial" w:cs="Arial" w:eastAsia="Arial" w:hAnsi="Arial"/>
          <w:color w:val="333333"/>
          <w:sz w:val="22"/>
          <w:szCs w:val="22"/>
        </w:rPr>
        <w:t xml:space="preserve">D. The United Nations</w:t>
      </w:r>
    </w:p>
    <w:p>
      <w:pPr>
        <w:spacing w:after="120"/>
      </w:pPr>
    </w:p>
    <w:p>
      <w:pPr>
        <w:spacing w:after="60" w:before="120"/>
      </w:pPr>
      <w:r>
        <w:rPr>
          <w:rFonts w:ascii="Arial" w:cs="Arial" w:eastAsia="Arial" w:hAnsi="Arial"/>
          <w:b/>
          <w:bCs/>
          <w:color w:val="333333"/>
          <w:sz w:val="22"/>
          <w:szCs w:val="22"/>
        </w:rPr>
        <w:t xml:space="preserve">10. A ‘rug pull’ in cryptocurrency refers to:</w:t>
      </w:r>
    </w:p>
    <w:p>
      <w:r>
        <w:rPr>
          <w:rFonts w:ascii="Arial" w:cs="Arial" w:eastAsia="Arial" w:hAnsi="Arial"/>
          <w:color w:val="333333"/>
          <w:sz w:val="22"/>
          <w:szCs w:val="22"/>
        </w:rPr>
        <w:t xml:space="preserve">A. A 51% attack</w:t>
      </w:r>
    </w:p>
    <w:p>
      <w:r>
        <w:rPr>
          <w:rFonts w:ascii="Arial" w:cs="Arial" w:eastAsia="Arial" w:hAnsi="Arial"/>
          <w:color w:val="333333"/>
          <w:sz w:val="22"/>
          <w:szCs w:val="22"/>
        </w:rPr>
        <w:t xml:space="preserve">B. Creators abandoning a project with investor funds</w:t>
      </w:r>
    </w:p>
    <w:p>
      <w:r>
        <w:rPr>
          <w:rFonts w:ascii="Arial" w:cs="Arial" w:eastAsia="Arial" w:hAnsi="Arial"/>
          <w:color w:val="333333"/>
          <w:sz w:val="22"/>
          <w:szCs w:val="22"/>
        </w:rPr>
        <w:t xml:space="preserve">C. A smart contract upgrade</w:t>
      </w:r>
    </w:p>
    <w:p>
      <w:r>
        <w:rPr>
          <w:rFonts w:ascii="Arial" w:cs="Arial" w:eastAsia="Arial" w:hAnsi="Arial"/>
          <w:color w:val="333333"/>
          <w:sz w:val="22"/>
          <w:szCs w:val="22"/>
        </w:rPr>
        <w:t xml:space="preserve">D. A blockchain fork</w:t>
      </w:r>
    </w:p>
    <w:p>
      <w:pPr>
        <w:spacing w:after="120"/>
      </w:pPr>
    </w:p>
    <w:p>
      <w:pPr>
        <w:spacing w:after="60" w:before="120"/>
      </w:pPr>
      <w:r>
        <w:rPr>
          <w:rFonts w:ascii="Arial" w:cs="Arial" w:eastAsia="Arial" w:hAnsi="Arial"/>
          <w:b/>
          <w:bCs/>
          <w:color w:val="333333"/>
          <w:sz w:val="22"/>
          <w:szCs w:val="22"/>
        </w:rPr>
        <w:t xml:space="preserve">11. BEC attacks typically target:</w:t>
      </w:r>
    </w:p>
    <w:p>
      <w:r>
        <w:rPr>
          <w:rFonts w:ascii="Arial" w:cs="Arial" w:eastAsia="Arial" w:hAnsi="Arial"/>
          <w:color w:val="333333"/>
          <w:sz w:val="22"/>
          <w:szCs w:val="22"/>
        </w:rPr>
        <w:t xml:space="preserve">A. ATM machines</w:t>
      </w:r>
    </w:p>
    <w:p>
      <w:r>
        <w:rPr>
          <w:rFonts w:ascii="Arial" w:cs="Arial" w:eastAsia="Arial" w:hAnsi="Arial"/>
          <w:color w:val="333333"/>
          <w:sz w:val="22"/>
          <w:szCs w:val="22"/>
        </w:rPr>
        <w:t xml:space="preserve">B. Wire transfer authorisations</w:t>
      </w:r>
    </w:p>
    <w:p>
      <w:r>
        <w:rPr>
          <w:rFonts w:ascii="Arial" w:cs="Arial" w:eastAsia="Arial" w:hAnsi="Arial"/>
          <w:color w:val="333333"/>
          <w:sz w:val="22"/>
          <w:szCs w:val="22"/>
        </w:rPr>
        <w:t xml:space="preserve">C. Cryptocurrency wallets</w:t>
      </w:r>
    </w:p>
    <w:p>
      <w:r>
        <w:rPr>
          <w:rFonts w:ascii="Arial" w:cs="Arial" w:eastAsia="Arial" w:hAnsi="Arial"/>
          <w:color w:val="333333"/>
          <w:sz w:val="22"/>
          <w:szCs w:val="22"/>
        </w:rPr>
        <w:t xml:space="preserve">D. Mobile banking PINs</w:t>
      </w:r>
    </w:p>
    <w:p>
      <w:pPr>
        <w:spacing w:after="120"/>
      </w:pPr>
    </w:p>
    <w:p>
      <w:pPr>
        <w:spacing w:after="60" w:before="120"/>
      </w:pPr>
      <w:r>
        <w:rPr>
          <w:rFonts w:ascii="Arial" w:cs="Arial" w:eastAsia="Arial" w:hAnsi="Arial"/>
          <w:b/>
          <w:bCs/>
          <w:color w:val="333333"/>
          <w:sz w:val="22"/>
          <w:szCs w:val="22"/>
        </w:rPr>
        <w:t xml:space="preserve">12. The FTX founder was convicted of:</w:t>
      </w:r>
    </w:p>
    <w:p>
      <w:r>
        <w:rPr>
          <w:rFonts w:ascii="Arial" w:cs="Arial" w:eastAsia="Arial" w:hAnsi="Arial"/>
          <w:color w:val="333333"/>
          <w:sz w:val="22"/>
          <w:szCs w:val="22"/>
        </w:rPr>
        <w:t xml:space="preserve">A. Hacking</w:t>
      </w:r>
    </w:p>
    <w:p>
      <w:r>
        <w:rPr>
          <w:rFonts w:ascii="Arial" w:cs="Arial" w:eastAsia="Arial" w:hAnsi="Arial"/>
          <w:color w:val="333333"/>
          <w:sz w:val="22"/>
          <w:szCs w:val="22"/>
        </w:rPr>
        <w:t xml:space="preserve">B. Fraud and conspiracy</w:t>
      </w:r>
    </w:p>
    <w:p>
      <w:r>
        <w:rPr>
          <w:rFonts w:ascii="Arial" w:cs="Arial" w:eastAsia="Arial" w:hAnsi="Arial"/>
          <w:color w:val="333333"/>
          <w:sz w:val="22"/>
          <w:szCs w:val="22"/>
        </w:rPr>
        <w:t xml:space="preserve">C. Money laundering only</w:t>
      </w:r>
    </w:p>
    <w:p>
      <w:r>
        <w:rPr>
          <w:rFonts w:ascii="Arial" w:cs="Arial" w:eastAsia="Arial" w:hAnsi="Arial"/>
          <w:color w:val="333333"/>
          <w:sz w:val="22"/>
          <w:szCs w:val="22"/>
        </w:rPr>
        <w:t xml:space="preserve">D. Tax evasion</w:t>
      </w:r>
    </w:p>
    <w:p>
      <w:pPr>
        <w:spacing w:after="120"/>
      </w:pPr>
    </w:p>
    <w:p>
      <w:pPr>
        <w:spacing w:after="60" w:before="120"/>
      </w:pPr>
      <w:r>
        <w:rPr>
          <w:rFonts w:ascii="Arial" w:cs="Arial" w:eastAsia="Arial" w:hAnsi="Arial"/>
          <w:b/>
          <w:bCs/>
          <w:color w:val="333333"/>
          <w:sz w:val="22"/>
          <w:szCs w:val="22"/>
        </w:rPr>
        <w:t xml:space="preserve">13. CBEST is managed by:</w:t>
      </w:r>
    </w:p>
    <w:p>
      <w:r>
        <w:rPr>
          <w:rFonts w:ascii="Arial" w:cs="Arial" w:eastAsia="Arial" w:hAnsi="Arial"/>
          <w:color w:val="333333"/>
          <w:sz w:val="22"/>
          <w:szCs w:val="22"/>
        </w:rPr>
        <w:t xml:space="preserve">A. The FCA</w:t>
      </w:r>
    </w:p>
    <w:p>
      <w:r>
        <w:rPr>
          <w:rFonts w:ascii="Arial" w:cs="Arial" w:eastAsia="Arial" w:hAnsi="Arial"/>
          <w:color w:val="333333"/>
          <w:sz w:val="22"/>
          <w:szCs w:val="22"/>
        </w:rPr>
        <w:t xml:space="preserve">B. The Bank of England</w:t>
      </w:r>
    </w:p>
    <w:p>
      <w:r>
        <w:rPr>
          <w:rFonts w:ascii="Arial" w:cs="Arial" w:eastAsia="Arial" w:hAnsi="Arial"/>
          <w:color w:val="333333"/>
          <w:sz w:val="22"/>
          <w:szCs w:val="22"/>
        </w:rPr>
        <w:t xml:space="preserve">C. NCSC</w:t>
      </w:r>
    </w:p>
    <w:p>
      <w:r>
        <w:rPr>
          <w:rFonts w:ascii="Arial" w:cs="Arial" w:eastAsia="Arial" w:hAnsi="Arial"/>
          <w:color w:val="333333"/>
          <w:sz w:val="22"/>
          <w:szCs w:val="22"/>
        </w:rPr>
        <w:t xml:space="preserve">D. PCI SSC</w:t>
      </w:r>
    </w:p>
    <w:p>
      <w:pPr>
        <w:spacing w:after="120"/>
      </w:pPr>
    </w:p>
    <w:p>
      <w:pPr>
        <w:spacing w:after="60" w:before="120"/>
      </w:pPr>
      <w:r>
        <w:rPr>
          <w:rFonts w:ascii="Arial" w:cs="Arial" w:eastAsia="Arial" w:hAnsi="Arial"/>
          <w:b/>
          <w:bCs/>
          <w:color w:val="333333"/>
          <w:sz w:val="22"/>
          <w:szCs w:val="22"/>
        </w:rPr>
        <w:t xml:space="preserve">14. Which payment system processes UK real-time retail payments?</w:t>
      </w:r>
    </w:p>
    <w:p>
      <w:r>
        <w:rPr>
          <w:rFonts w:ascii="Arial" w:cs="Arial" w:eastAsia="Arial" w:hAnsi="Arial"/>
          <w:color w:val="333333"/>
          <w:sz w:val="22"/>
          <w:szCs w:val="22"/>
        </w:rPr>
        <w:t xml:space="preserve">A. CHAPS</w:t>
      </w:r>
    </w:p>
    <w:p>
      <w:r>
        <w:rPr>
          <w:rFonts w:ascii="Arial" w:cs="Arial" w:eastAsia="Arial" w:hAnsi="Arial"/>
          <w:color w:val="333333"/>
          <w:sz w:val="22"/>
          <w:szCs w:val="22"/>
        </w:rPr>
        <w:t xml:space="preserve">B. BACS</w:t>
      </w:r>
    </w:p>
    <w:p>
      <w:r>
        <w:rPr>
          <w:rFonts w:ascii="Arial" w:cs="Arial" w:eastAsia="Arial" w:hAnsi="Arial"/>
          <w:color w:val="333333"/>
          <w:sz w:val="22"/>
          <w:szCs w:val="22"/>
        </w:rPr>
        <w:t xml:space="preserve">C. Faster Payments Service</w:t>
      </w:r>
    </w:p>
    <w:p>
      <w:r>
        <w:rPr>
          <w:rFonts w:ascii="Arial" w:cs="Arial" w:eastAsia="Arial" w:hAnsi="Arial"/>
          <w:color w:val="333333"/>
          <w:sz w:val="22"/>
          <w:szCs w:val="22"/>
        </w:rPr>
        <w:t xml:space="preserve">D. SWIFT</w:t>
      </w:r>
    </w:p>
    <w:p>
      <w:pPr>
        <w:spacing w:after="120"/>
      </w:pPr>
    </w:p>
    <w:p>
      <w:pPr>
        <w:spacing w:after="60" w:before="120"/>
      </w:pPr>
      <w:r>
        <w:rPr>
          <w:rFonts w:ascii="Arial" w:cs="Arial" w:eastAsia="Arial" w:hAnsi="Arial"/>
          <w:b/>
          <w:bCs/>
          <w:color w:val="333333"/>
          <w:sz w:val="22"/>
          <w:szCs w:val="22"/>
        </w:rPr>
        <w:t xml:space="preserve">15. A cold wallet is:</w:t>
      </w:r>
    </w:p>
    <w:p>
      <w:r>
        <w:rPr>
          <w:rFonts w:ascii="Arial" w:cs="Arial" w:eastAsia="Arial" w:hAnsi="Arial"/>
          <w:color w:val="333333"/>
          <w:sz w:val="22"/>
          <w:szCs w:val="22"/>
        </w:rPr>
        <w:t xml:space="preserve">A. A frozen bank account</w:t>
      </w:r>
    </w:p>
    <w:p>
      <w:r>
        <w:rPr>
          <w:rFonts w:ascii="Arial" w:cs="Arial" w:eastAsia="Arial" w:hAnsi="Arial"/>
          <w:color w:val="333333"/>
          <w:sz w:val="22"/>
          <w:szCs w:val="22"/>
        </w:rPr>
        <w:t xml:space="preserve">B. Offline cryptocurrency storage</w:t>
      </w:r>
    </w:p>
    <w:p>
      <w:r>
        <w:rPr>
          <w:rFonts w:ascii="Arial" w:cs="Arial" w:eastAsia="Arial" w:hAnsi="Arial"/>
          <w:color w:val="333333"/>
          <w:sz w:val="22"/>
          <w:szCs w:val="22"/>
        </w:rPr>
        <w:t xml:space="preserve">C. A dormant exchange account</w:t>
      </w:r>
    </w:p>
    <w:p>
      <w:r>
        <w:rPr>
          <w:rFonts w:ascii="Arial" w:cs="Arial" w:eastAsia="Arial" w:hAnsi="Arial"/>
          <w:color w:val="333333"/>
          <w:sz w:val="22"/>
          <w:szCs w:val="22"/>
        </w:rPr>
        <w:t xml:space="preserve">D. An encrypted email</w:t>
      </w:r>
    </w:p>
    <w:p>
      <w:pPr>
        <w:spacing w:after="120"/>
      </w:pPr>
    </w:p>
    <w:p>
      <w:pPr>
        <w:spacing w:after="60" w:before="120"/>
      </w:pPr>
      <w:r>
        <w:rPr>
          <w:rFonts w:ascii="Arial" w:cs="Arial" w:eastAsia="Arial" w:hAnsi="Arial"/>
          <w:b/>
          <w:bCs/>
          <w:color w:val="333333"/>
          <w:sz w:val="22"/>
          <w:szCs w:val="22"/>
        </w:rPr>
        <w:t xml:space="preserve">16. Zeus’s web injection technique allowed attackers to:</w:t>
      </w:r>
    </w:p>
    <w:p>
      <w:r>
        <w:rPr>
          <w:rFonts w:ascii="Arial" w:cs="Arial" w:eastAsia="Arial" w:hAnsi="Arial"/>
          <w:color w:val="333333"/>
          <w:sz w:val="22"/>
          <w:szCs w:val="22"/>
        </w:rPr>
        <w:t xml:space="preserve">A. Block banking websites</w:t>
      </w:r>
    </w:p>
    <w:p>
      <w:r>
        <w:rPr>
          <w:rFonts w:ascii="Arial" w:cs="Arial" w:eastAsia="Arial" w:hAnsi="Arial"/>
          <w:color w:val="333333"/>
          <w:sz w:val="22"/>
          <w:szCs w:val="22"/>
        </w:rPr>
        <w:t xml:space="preserve">B. Modify legitimate banking pages in real time</w:t>
      </w:r>
    </w:p>
    <w:p>
      <w:r>
        <w:rPr>
          <w:rFonts w:ascii="Arial" w:cs="Arial" w:eastAsia="Arial" w:hAnsi="Arial"/>
          <w:color w:val="333333"/>
          <w:sz w:val="22"/>
          <w:szCs w:val="22"/>
        </w:rPr>
        <w:t xml:space="preserve">C. Create new bank accounts</w:t>
      </w:r>
    </w:p>
    <w:p>
      <w:r>
        <w:rPr>
          <w:rFonts w:ascii="Arial" w:cs="Arial" w:eastAsia="Arial" w:hAnsi="Arial"/>
          <w:color w:val="333333"/>
          <w:sz w:val="22"/>
          <w:szCs w:val="22"/>
        </w:rPr>
        <w:t xml:space="preserve">D. Disable firewalls</w:t>
      </w:r>
    </w:p>
    <w:p>
      <w:pPr>
        <w:spacing w:after="120"/>
      </w:pPr>
    </w:p>
    <w:p>
      <w:pPr>
        <w:spacing w:after="60" w:before="120"/>
      </w:pPr>
      <w:r>
        <w:rPr>
          <w:rFonts w:ascii="Arial" w:cs="Arial" w:eastAsia="Arial" w:hAnsi="Arial"/>
          <w:b/>
          <w:bCs/>
          <w:color w:val="333333"/>
          <w:sz w:val="22"/>
          <w:szCs w:val="22"/>
        </w:rPr>
        <w:t xml:space="preserve">17. Open Banking in the UK was mandated by:</w:t>
      </w:r>
    </w:p>
    <w:p>
      <w:r>
        <w:rPr>
          <w:rFonts w:ascii="Arial" w:cs="Arial" w:eastAsia="Arial" w:hAnsi="Arial"/>
          <w:color w:val="333333"/>
          <w:sz w:val="22"/>
          <w:szCs w:val="22"/>
        </w:rPr>
        <w:t xml:space="preserve">A. The FCA</w:t>
      </w:r>
    </w:p>
    <w:p>
      <w:r>
        <w:rPr>
          <w:rFonts w:ascii="Arial" w:cs="Arial" w:eastAsia="Arial" w:hAnsi="Arial"/>
          <w:color w:val="333333"/>
          <w:sz w:val="22"/>
          <w:szCs w:val="22"/>
        </w:rPr>
        <w:t xml:space="preserve">B. The CMA</w:t>
      </w:r>
    </w:p>
    <w:p>
      <w:r>
        <w:rPr>
          <w:rFonts w:ascii="Arial" w:cs="Arial" w:eastAsia="Arial" w:hAnsi="Arial"/>
          <w:color w:val="333333"/>
          <w:sz w:val="22"/>
          <w:szCs w:val="22"/>
        </w:rPr>
        <w:t xml:space="preserve">C. The Bank of England</w:t>
      </w:r>
    </w:p>
    <w:p>
      <w:r>
        <w:rPr>
          <w:rFonts w:ascii="Arial" w:cs="Arial" w:eastAsia="Arial" w:hAnsi="Arial"/>
          <w:color w:val="333333"/>
          <w:sz w:val="22"/>
          <w:szCs w:val="22"/>
        </w:rPr>
        <w:t xml:space="preserve">D. SWIFT</w:t>
      </w:r>
    </w:p>
    <w:p>
      <w:pPr>
        <w:spacing w:after="120"/>
      </w:pPr>
    </w:p>
    <w:p>
      <w:pPr>
        <w:spacing w:after="60" w:before="120"/>
      </w:pPr>
      <w:r>
        <w:rPr>
          <w:rFonts w:ascii="Arial" w:cs="Arial" w:eastAsia="Arial" w:hAnsi="Arial"/>
          <w:b/>
          <w:bCs/>
          <w:color w:val="333333"/>
          <w:sz w:val="22"/>
          <w:szCs w:val="22"/>
        </w:rPr>
        <w:t xml:space="preserve">18. The average cost of a financial sector data breach is approximately:</w:t>
      </w:r>
    </w:p>
    <w:p>
      <w:r>
        <w:rPr>
          <w:rFonts w:ascii="Arial" w:cs="Arial" w:eastAsia="Arial" w:hAnsi="Arial"/>
          <w:color w:val="333333"/>
          <w:sz w:val="22"/>
          <w:szCs w:val="22"/>
        </w:rPr>
        <w:t xml:space="preserve">A. $1 million</w:t>
      </w:r>
    </w:p>
    <w:p>
      <w:r>
        <w:rPr>
          <w:rFonts w:ascii="Arial" w:cs="Arial" w:eastAsia="Arial" w:hAnsi="Arial"/>
          <w:color w:val="333333"/>
          <w:sz w:val="22"/>
          <w:szCs w:val="22"/>
        </w:rPr>
        <w:t xml:space="preserve">B. $3 million</w:t>
      </w:r>
    </w:p>
    <w:p>
      <w:r>
        <w:rPr>
          <w:rFonts w:ascii="Arial" w:cs="Arial" w:eastAsia="Arial" w:hAnsi="Arial"/>
          <w:color w:val="333333"/>
          <w:sz w:val="22"/>
          <w:szCs w:val="22"/>
        </w:rPr>
        <w:t xml:space="preserve">C. $5.9 million</w:t>
      </w:r>
    </w:p>
    <w:p>
      <w:r>
        <w:rPr>
          <w:rFonts w:ascii="Arial" w:cs="Arial" w:eastAsia="Arial" w:hAnsi="Arial"/>
          <w:color w:val="333333"/>
          <w:sz w:val="22"/>
          <w:szCs w:val="22"/>
        </w:rPr>
        <w:t xml:space="preserve">D. $10 million</w:t>
      </w:r>
    </w:p>
    <w:p>
      <w:pPr>
        <w:spacing w:after="120"/>
      </w:pPr>
    </w:p>
    <w:p>
      <w:pPr>
        <w:spacing w:after="60" w:before="120"/>
      </w:pPr>
      <w:r>
        <w:rPr>
          <w:rFonts w:ascii="Arial" w:cs="Arial" w:eastAsia="Arial" w:hAnsi="Arial"/>
          <w:b/>
          <w:bCs/>
          <w:color w:val="333333"/>
          <w:sz w:val="22"/>
          <w:szCs w:val="22"/>
        </w:rPr>
        <w:t xml:space="preserve">19. Which act brought stablecoins into UK regulatory scope?</w:t>
      </w:r>
    </w:p>
    <w:p>
      <w:r>
        <w:rPr>
          <w:rFonts w:ascii="Arial" w:cs="Arial" w:eastAsia="Arial" w:hAnsi="Arial"/>
          <w:color w:val="333333"/>
          <w:sz w:val="22"/>
          <w:szCs w:val="22"/>
        </w:rPr>
        <w:t xml:space="preserve">A. Computer Misuse Act</w:t>
      </w:r>
    </w:p>
    <w:p>
      <w:r>
        <w:rPr>
          <w:rFonts w:ascii="Arial" w:cs="Arial" w:eastAsia="Arial" w:hAnsi="Arial"/>
          <w:color w:val="333333"/>
          <w:sz w:val="22"/>
          <w:szCs w:val="22"/>
        </w:rPr>
        <w:t xml:space="preserve">B. Financial Services and Markets Act 2023</w:t>
      </w:r>
    </w:p>
    <w:p>
      <w:r>
        <w:rPr>
          <w:rFonts w:ascii="Arial" w:cs="Arial" w:eastAsia="Arial" w:hAnsi="Arial"/>
          <w:color w:val="333333"/>
          <w:sz w:val="22"/>
          <w:szCs w:val="22"/>
        </w:rPr>
        <w:t xml:space="preserve">C. Data Protection Act</w:t>
      </w:r>
    </w:p>
    <w:p>
      <w:r>
        <w:rPr>
          <w:rFonts w:ascii="Arial" w:cs="Arial" w:eastAsia="Arial" w:hAnsi="Arial"/>
          <w:color w:val="333333"/>
          <w:sz w:val="22"/>
          <w:szCs w:val="22"/>
        </w:rPr>
        <w:t xml:space="preserve">D. Proceeds of Crime Act</w:t>
      </w:r>
    </w:p>
    <w:p>
      <w:pPr>
        <w:spacing w:after="120"/>
      </w:pPr>
    </w:p>
    <w:p>
      <w:pPr>
        <w:spacing w:after="60" w:before="120"/>
      </w:pPr>
      <w:r>
        <w:rPr>
          <w:rFonts w:ascii="Arial" w:cs="Arial" w:eastAsia="Arial" w:hAnsi="Arial"/>
          <w:b/>
          <w:bCs/>
          <w:color w:val="333333"/>
          <w:sz w:val="22"/>
          <w:szCs w:val="22"/>
        </w:rPr>
        <w:t xml:space="preserve">20. The FATF is the global standard-setter for:</w:t>
      </w:r>
    </w:p>
    <w:p>
      <w:r>
        <w:rPr>
          <w:rFonts w:ascii="Arial" w:cs="Arial" w:eastAsia="Arial" w:hAnsi="Arial"/>
          <w:color w:val="333333"/>
          <w:sz w:val="22"/>
          <w:szCs w:val="22"/>
        </w:rPr>
        <w:t xml:space="preserve">A. Cryptocurrency trading</w:t>
      </w:r>
    </w:p>
    <w:p>
      <w:r>
        <w:rPr>
          <w:rFonts w:ascii="Arial" w:cs="Arial" w:eastAsia="Arial" w:hAnsi="Arial"/>
          <w:color w:val="333333"/>
          <w:sz w:val="22"/>
          <w:szCs w:val="22"/>
        </w:rPr>
        <w:t xml:space="preserve">B. Anti-money laundering</w:t>
      </w:r>
    </w:p>
    <w:p>
      <w:r>
        <w:rPr>
          <w:rFonts w:ascii="Arial" w:cs="Arial" w:eastAsia="Arial" w:hAnsi="Arial"/>
          <w:color w:val="333333"/>
          <w:sz w:val="22"/>
          <w:szCs w:val="22"/>
        </w:rPr>
        <w:t xml:space="preserve">C. Database security</w:t>
      </w:r>
    </w:p>
    <w:p>
      <w:r>
        <w:rPr>
          <w:rFonts w:ascii="Arial" w:cs="Arial" w:eastAsia="Arial" w:hAnsi="Arial"/>
          <w:color w:val="333333"/>
          <w:sz w:val="22"/>
          <w:szCs w:val="22"/>
        </w:rPr>
        <w:t xml:space="preserve">D. Network architecture</w:t>
      </w:r>
    </w:p>
    <w:p>
      <w:pPr>
        <w:spacing w:after="120"/>
      </w:pPr>
    </w:p>
    <w:p>
      <w:pPr>
        <w:pStyle w:val="Heading2"/>
      </w:pPr>
      <w:r>
        <w:t xml:space="preserve">Answers to True/False Questions</w:t>
      </w:r>
    </w:p>
    <w:p>
      <w:pPr>
        <w:spacing w:after="80"/>
      </w:pPr>
      <w:r>
        <w:rPr>
          <w:rFonts w:ascii="Arial" w:cs="Arial" w:eastAsia="Arial" w:hAnsi="Arial"/>
          <w:b/>
          <w:bCs/>
          <w:color w:val="333333"/>
          <w:sz w:val="22"/>
          <w:szCs w:val="22"/>
        </w:rPr>
        <w:t xml:space="preserve">1.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Financial services is consistently the most targeted sector due to direct access to money and sensitive data.</w:t>
      </w:r>
    </w:p>
    <w:p>
      <w:pPr>
        <w:spacing w:after="80"/>
      </w:pPr>
      <w:r>
        <w:rPr>
          <w:rFonts w:ascii="Arial" w:cs="Arial" w:eastAsia="Arial" w:hAnsi="Arial"/>
          <w:b/>
          <w:bCs/>
          <w:color w:val="333333"/>
          <w:sz w:val="22"/>
          <w:szCs w:val="22"/>
        </w:rPr>
        <w:t xml:space="preserve">2.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Zeus was first identified in 2007.</w:t>
      </w:r>
    </w:p>
    <w:p>
      <w:pPr>
        <w:spacing w:after="80"/>
      </w:pPr>
      <w:r>
        <w:rPr>
          <w:rFonts w:ascii="Arial" w:cs="Arial" w:eastAsia="Arial" w:hAnsi="Arial"/>
          <w:b/>
          <w:bCs/>
          <w:color w:val="333333"/>
          <w:sz w:val="22"/>
          <w:szCs w:val="22"/>
        </w:rPr>
        <w:t xml:space="preserve">3.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TINBA’s remarkably small 20KB size made it extremely difficult to detect.</w:t>
      </w:r>
    </w:p>
    <w:p>
      <w:pPr>
        <w:spacing w:after="80"/>
      </w:pPr>
      <w:r>
        <w:rPr>
          <w:rFonts w:ascii="Arial" w:cs="Arial" w:eastAsia="Arial" w:hAnsi="Arial"/>
          <w:b/>
          <w:bCs/>
          <w:color w:val="333333"/>
          <w:sz w:val="22"/>
          <w:szCs w:val="22"/>
        </w:rPr>
        <w:t xml:space="preserve">4.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Carbanak targeted the banks themselves, not individual customers.</w:t>
      </w:r>
    </w:p>
    <w:p>
      <w:pPr>
        <w:spacing w:after="80"/>
      </w:pPr>
      <w:r>
        <w:rPr>
          <w:rFonts w:ascii="Arial" w:cs="Arial" w:eastAsia="Arial" w:hAnsi="Arial"/>
          <w:b/>
          <w:bCs/>
          <w:color w:val="333333"/>
          <w:sz w:val="22"/>
          <w:szCs w:val="22"/>
        </w:rPr>
        <w:t xml:space="preserve">5.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The attackers attempted to steal $951 million but only successfully obtained $81 million.</w:t>
      </w:r>
    </w:p>
    <w:p>
      <w:pPr>
        <w:spacing w:after="80"/>
      </w:pPr>
      <w:r>
        <w:rPr>
          <w:rFonts w:ascii="Arial" w:cs="Arial" w:eastAsia="Arial" w:hAnsi="Arial"/>
          <w:b/>
          <w:bCs/>
          <w:color w:val="333333"/>
          <w:sz w:val="22"/>
          <w:szCs w:val="22"/>
        </w:rPr>
        <w:t xml:space="preserve">6.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SWIFT processes approximately 42 million messages daily across 200+ countries.</w:t>
      </w:r>
    </w:p>
    <w:p>
      <w:pPr>
        <w:spacing w:after="80"/>
      </w:pPr>
      <w:r>
        <w:rPr>
          <w:rFonts w:ascii="Arial" w:cs="Arial" w:eastAsia="Arial" w:hAnsi="Arial"/>
          <w:b/>
          <w:bCs/>
          <w:color w:val="333333"/>
          <w:sz w:val="22"/>
          <w:szCs w:val="22"/>
        </w:rPr>
        <w:t xml:space="preserve">7.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PCI DSS v4.0 maintains the 12-requirement structure.</w:t>
      </w:r>
    </w:p>
    <w:p>
      <w:pPr>
        <w:spacing w:after="80"/>
      </w:pPr>
      <w:r>
        <w:rPr>
          <w:rFonts w:ascii="Arial" w:cs="Arial" w:eastAsia="Arial" w:hAnsi="Arial"/>
          <w:b/>
          <w:bCs/>
          <w:color w:val="333333"/>
          <w:sz w:val="22"/>
          <w:szCs w:val="22"/>
        </w:rPr>
        <w:t xml:space="preserve">8.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Level 1 applies to merchants processing over 6 million card transactions annually.</w:t>
      </w:r>
    </w:p>
    <w:p>
      <w:pPr>
        <w:spacing w:after="80"/>
      </w:pPr>
      <w:r>
        <w:rPr>
          <w:rFonts w:ascii="Arial" w:cs="Arial" w:eastAsia="Arial" w:hAnsi="Arial"/>
          <w:b/>
          <w:bCs/>
          <w:color w:val="333333"/>
          <w:sz w:val="22"/>
          <w:szCs w:val="22"/>
        </w:rPr>
        <w:t xml:space="preserve">9.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Open banking requires explicit customer consent before data is shared.</w:t>
      </w:r>
    </w:p>
    <w:p>
      <w:pPr>
        <w:spacing w:after="80"/>
      </w:pPr>
      <w:r>
        <w:rPr>
          <w:rFonts w:ascii="Arial" w:cs="Arial" w:eastAsia="Arial" w:hAnsi="Arial"/>
          <w:b/>
          <w:bCs/>
          <w:color w:val="333333"/>
          <w:sz w:val="22"/>
          <w:szCs w:val="22"/>
        </w:rPr>
        <w:t xml:space="preserve">10.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Magecart injects malicious JavaScript to capture payment data as it is entered.</w:t>
      </w:r>
    </w:p>
    <w:p>
      <w:pPr>
        <w:spacing w:after="80"/>
      </w:pPr>
      <w:r>
        <w:rPr>
          <w:rFonts w:ascii="Arial" w:cs="Arial" w:eastAsia="Arial" w:hAnsi="Arial"/>
          <w:b/>
          <w:bCs/>
          <w:color w:val="333333"/>
          <w:sz w:val="22"/>
          <w:szCs w:val="22"/>
        </w:rPr>
        <w:t xml:space="preserve">11.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A blockchain is a decentralised distributed ledger with no single authority.</w:t>
      </w:r>
    </w:p>
    <w:p>
      <w:pPr>
        <w:spacing w:after="80"/>
      </w:pPr>
      <w:r>
        <w:rPr>
          <w:rFonts w:ascii="Arial" w:cs="Arial" w:eastAsia="Arial" w:hAnsi="Arial"/>
          <w:b/>
          <w:bCs/>
          <w:color w:val="333333"/>
          <w:sz w:val="22"/>
          <w:szCs w:val="22"/>
        </w:rPr>
        <w:t xml:space="preserve">12.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FTX customers lost an estimated $8 billion in the collapse.</w:t>
      </w:r>
    </w:p>
    <w:p>
      <w:pPr>
        <w:spacing w:after="80"/>
      </w:pPr>
      <w:r>
        <w:rPr>
          <w:rFonts w:ascii="Arial" w:cs="Arial" w:eastAsia="Arial" w:hAnsi="Arial"/>
          <w:b/>
          <w:bCs/>
          <w:color w:val="333333"/>
          <w:sz w:val="22"/>
          <w:szCs w:val="22"/>
        </w:rPr>
        <w:t xml:space="preserve">13.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Cold wallets are stored offline. Hot wallets are connected to the internet.</w:t>
      </w:r>
    </w:p>
    <w:p>
      <w:pPr>
        <w:spacing w:after="80"/>
      </w:pPr>
      <w:r>
        <w:rPr>
          <w:rFonts w:ascii="Arial" w:cs="Arial" w:eastAsia="Arial" w:hAnsi="Arial"/>
          <w:b/>
          <w:bCs/>
          <w:color w:val="333333"/>
          <w:sz w:val="22"/>
          <w:szCs w:val="22"/>
        </w:rPr>
        <w:t xml:space="preserve">14.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Lazarus Group has been linked to over $2 billion in cryptocurrency thefts.</w:t>
      </w:r>
    </w:p>
    <w:p>
      <w:pPr>
        <w:spacing w:after="80"/>
      </w:pPr>
      <w:r>
        <w:rPr>
          <w:rFonts w:ascii="Arial" w:cs="Arial" w:eastAsia="Arial" w:hAnsi="Arial"/>
          <w:b/>
          <w:bCs/>
          <w:color w:val="333333"/>
          <w:sz w:val="22"/>
          <w:szCs w:val="22"/>
        </w:rPr>
        <w:t xml:space="preserve">15.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MiCA (Markets in Crypto-Assets) provides comprehensive EU cryptocurrency regulation.</w:t>
      </w:r>
    </w:p>
    <w:p>
      <w:pPr>
        <w:spacing w:after="80"/>
      </w:pPr>
      <w:r>
        <w:rPr>
          <w:rFonts w:ascii="Arial" w:cs="Arial" w:eastAsia="Arial" w:hAnsi="Arial"/>
          <w:b/>
          <w:bCs/>
          <w:color w:val="333333"/>
          <w:sz w:val="22"/>
          <w:szCs w:val="22"/>
        </w:rPr>
        <w:t xml:space="preserve">16.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Controlling &gt;50% of mining power enables blockchain manipulation.</w:t>
      </w:r>
    </w:p>
    <w:p>
      <w:pPr>
        <w:spacing w:after="80"/>
      </w:pPr>
      <w:r>
        <w:rPr>
          <w:rFonts w:ascii="Arial" w:cs="Arial" w:eastAsia="Arial" w:hAnsi="Arial"/>
          <w:b/>
          <w:bCs/>
          <w:color w:val="333333"/>
          <w:sz w:val="22"/>
          <w:szCs w:val="22"/>
        </w:rPr>
        <w:t xml:space="preserve">17.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Ransomware payments are typically demanded in cryptocurrency (Bitcoin or Monero).</w:t>
      </w:r>
    </w:p>
    <w:p>
      <w:pPr>
        <w:spacing w:after="80"/>
      </w:pPr>
      <w:r>
        <w:rPr>
          <w:rFonts w:ascii="Arial" w:cs="Arial" w:eastAsia="Arial" w:hAnsi="Arial"/>
          <w:b/>
          <w:bCs/>
          <w:color w:val="333333"/>
          <w:sz w:val="22"/>
          <w:szCs w:val="22"/>
        </w:rPr>
        <w:t xml:space="preserve">18.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Attackers injected malicious JavaScript into BA’s website and mobile app.</w:t>
      </w:r>
    </w:p>
    <w:p>
      <w:pPr>
        <w:spacing w:after="80"/>
      </w:pPr>
      <w:r>
        <w:rPr>
          <w:rFonts w:ascii="Arial" w:cs="Arial" w:eastAsia="Arial" w:hAnsi="Arial"/>
          <w:b/>
          <w:bCs/>
          <w:color w:val="333333"/>
          <w:sz w:val="22"/>
          <w:szCs w:val="22"/>
        </w:rPr>
        <w:t xml:space="preserve">19.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CBEST is the Bank of England’s framework for threat-led penetration testing.</w:t>
      </w:r>
    </w:p>
    <w:p>
      <w:pPr>
        <w:spacing w:after="80"/>
      </w:pPr>
      <w:r>
        <w:rPr>
          <w:rFonts w:ascii="Arial" w:cs="Arial" w:eastAsia="Arial" w:hAnsi="Arial"/>
          <w:b/>
          <w:bCs/>
          <w:color w:val="333333"/>
          <w:sz w:val="22"/>
          <w:szCs w:val="22"/>
        </w:rPr>
        <w:t xml:space="preserve">20.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Smart contracts are immutable once deployed; vulnerabilities cannot be patched.</w:t>
      </w:r>
    </w:p>
    <w:p>
      <w:pPr>
        <w:spacing w:after="80"/>
      </w:pPr>
      <w:r>
        <w:rPr>
          <w:rFonts w:ascii="Arial" w:cs="Arial" w:eastAsia="Arial" w:hAnsi="Arial"/>
          <w:b/>
          <w:bCs/>
          <w:color w:val="333333"/>
          <w:sz w:val="22"/>
          <w:szCs w:val="22"/>
        </w:rPr>
        <w:t xml:space="preserve">21.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The travel rule applies to transfers above specified thresholds.</w:t>
      </w:r>
    </w:p>
    <w:p>
      <w:pPr>
        <w:spacing w:after="80"/>
      </w:pPr>
      <w:r>
        <w:rPr>
          <w:rFonts w:ascii="Arial" w:cs="Arial" w:eastAsia="Arial" w:hAnsi="Arial"/>
          <w:b/>
          <w:bCs/>
          <w:color w:val="333333"/>
          <w:sz w:val="22"/>
          <w:szCs w:val="22"/>
        </w:rPr>
        <w:t xml:space="preserve">22.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FBI data shows BEC losses exceeding $43 billion since 2016.</w:t>
      </w:r>
    </w:p>
    <w:p>
      <w:pPr>
        <w:spacing w:after="80"/>
      </w:pPr>
      <w:r>
        <w:rPr>
          <w:rFonts w:ascii="Arial" w:cs="Arial" w:eastAsia="Arial" w:hAnsi="Arial"/>
          <w:b/>
          <w:bCs/>
          <w:color w:val="333333"/>
          <w:sz w:val="22"/>
          <w:szCs w:val="22"/>
        </w:rPr>
        <w:t xml:space="preserve">23.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The Ronin bridge attack, linked to Lazarus Group, stole $620 million.</w:t>
      </w:r>
    </w:p>
    <w:p>
      <w:pPr>
        <w:spacing w:after="80"/>
      </w:pPr>
      <w:r>
        <w:rPr>
          <w:rFonts w:ascii="Arial" w:cs="Arial" w:eastAsia="Arial" w:hAnsi="Arial"/>
          <w:b/>
          <w:bCs/>
          <w:color w:val="333333"/>
          <w:sz w:val="22"/>
          <w:szCs w:val="22"/>
        </w:rPr>
        <w:t xml:space="preserve">24. </w:t>
      </w:r>
      <w:r>
        <w:rPr>
          <w:rFonts w:ascii="Arial" w:cs="Arial" w:eastAsia="Arial" w:hAnsi="Arial"/>
          <w:i/>
          <w:iCs/>
          <w:color w:val="333333"/>
          <w:sz w:val="22"/>
          <w:szCs w:val="22"/>
        </w:rPr>
        <w:t xml:space="preserve">False. </w:t>
      </w:r>
      <w:r>
        <w:rPr>
          <w:rFonts w:ascii="Arial" w:cs="Arial" w:eastAsia="Arial" w:hAnsi="Arial"/>
          <w:color w:val="333333"/>
          <w:sz w:val="22"/>
          <w:szCs w:val="22"/>
        </w:rPr>
        <w:t xml:space="preserve">Cryptojacking hijacks computing resources for mining; it does not directly steal bank funds.</w:t>
      </w:r>
    </w:p>
    <w:p>
      <w:pPr>
        <w:spacing w:after="80"/>
      </w:pPr>
      <w:r>
        <w:rPr>
          <w:rFonts w:ascii="Arial" w:cs="Arial" w:eastAsia="Arial" w:hAnsi="Arial"/>
          <w:b/>
          <w:bCs/>
          <w:color w:val="333333"/>
          <w:sz w:val="22"/>
          <w:szCs w:val="22"/>
        </w:rPr>
        <w:t xml:space="preserve">25. </w:t>
      </w:r>
      <w:r>
        <w:rPr>
          <w:rFonts w:ascii="Arial" w:cs="Arial" w:eastAsia="Arial" w:hAnsi="Arial"/>
          <w:i/>
          <w:iCs/>
          <w:color w:val="333333"/>
          <w:sz w:val="22"/>
          <w:szCs w:val="22"/>
        </w:rPr>
        <w:t xml:space="preserve">True. </w:t>
      </w:r>
      <w:r>
        <w:rPr>
          <w:rFonts w:ascii="Arial" w:cs="Arial" w:eastAsia="Arial" w:hAnsi="Arial"/>
          <w:color w:val="333333"/>
          <w:sz w:val="22"/>
          <w:szCs w:val="22"/>
        </w:rPr>
        <w:t xml:space="preserve">UK crypto firms must register with the FCA for anti-money laundering purposes.</w:t>
      </w:r>
    </w:p>
    <w:p>
      <w:pPr>
        <w:pStyle w:val="Heading2"/>
        <w:spacing w:before="200"/>
      </w:pPr>
      <w:r>
        <w:t xml:space="preserve">Answers to Multiple Choice Questions</w:t>
      </w:r>
    </w:p>
    <w:p>
      <w:pPr>
        <w:spacing w:after="60"/>
      </w:pPr>
      <w:r>
        <w:rPr>
          <w:rFonts w:ascii="Arial" w:cs="Arial" w:eastAsia="Arial" w:hAnsi="Arial"/>
          <w:color w:val="333333"/>
          <w:sz w:val="22"/>
          <w:szCs w:val="22"/>
        </w:rPr>
        <w:t xml:space="preserve">1. (C) TINBA</w:t>
      </w:r>
    </w:p>
    <w:p>
      <w:pPr>
        <w:spacing w:after="60"/>
      </w:pPr>
      <w:r>
        <w:rPr>
          <w:rFonts w:ascii="Arial" w:cs="Arial" w:eastAsia="Arial" w:hAnsi="Arial"/>
          <w:color w:val="333333"/>
          <w:sz w:val="22"/>
          <w:szCs w:val="22"/>
        </w:rPr>
        <w:t xml:space="preserve">2. (C) $1 billion</w:t>
      </w:r>
    </w:p>
    <w:p>
      <w:pPr>
        <w:spacing w:after="60"/>
      </w:pPr>
      <w:r>
        <w:rPr>
          <w:rFonts w:ascii="Arial" w:cs="Arial" w:eastAsia="Arial" w:hAnsi="Arial"/>
          <w:color w:val="333333"/>
          <w:sz w:val="22"/>
          <w:szCs w:val="22"/>
        </w:rPr>
        <w:t xml:space="preserve">3. (C) 12</w:t>
      </w:r>
    </w:p>
    <w:p>
      <w:pPr>
        <w:spacing w:after="60"/>
      </w:pPr>
      <w:r>
        <w:rPr>
          <w:rFonts w:ascii="Arial" w:cs="Arial" w:eastAsia="Arial" w:hAnsi="Arial"/>
          <w:color w:val="333333"/>
          <w:sz w:val="22"/>
          <w:szCs w:val="22"/>
        </w:rPr>
        <w:t xml:space="preserve">4. (B) Society for Worldwide Interbank Financial Telecommunication</w:t>
      </w:r>
    </w:p>
    <w:p>
      <w:pPr>
        <w:spacing w:after="60"/>
      </w:pPr>
      <w:r>
        <w:rPr>
          <w:rFonts w:ascii="Arial" w:cs="Arial" w:eastAsia="Arial" w:hAnsi="Arial"/>
          <w:color w:val="333333"/>
          <w:sz w:val="22"/>
          <w:szCs w:val="22"/>
        </w:rPr>
        <w:t xml:space="preserve">5. (B) SWIFT terminal security</w:t>
      </w:r>
    </w:p>
    <w:p>
      <w:pPr>
        <w:spacing w:after="60"/>
      </w:pPr>
      <w:r>
        <w:rPr>
          <w:rFonts w:ascii="Arial" w:cs="Arial" w:eastAsia="Arial" w:hAnsi="Arial"/>
          <w:color w:val="333333"/>
          <w:sz w:val="22"/>
          <w:szCs w:val="22"/>
        </w:rPr>
        <w:t xml:space="preserve">6. (C) Web payment pages</w:t>
      </w:r>
    </w:p>
    <w:p>
      <w:pPr>
        <w:spacing w:after="60"/>
      </w:pPr>
      <w:r>
        <w:rPr>
          <w:rFonts w:ascii="Arial" w:cs="Arial" w:eastAsia="Arial" w:hAnsi="Arial"/>
          <w:color w:val="333333"/>
          <w:sz w:val="22"/>
          <w:szCs w:val="22"/>
        </w:rPr>
        <w:t xml:space="preserve">7. (C) Lazarus Group</w:t>
      </w:r>
    </w:p>
    <w:p>
      <w:pPr>
        <w:spacing w:after="60"/>
      </w:pPr>
      <w:r>
        <w:rPr>
          <w:rFonts w:ascii="Arial" w:cs="Arial" w:eastAsia="Arial" w:hAnsi="Arial"/>
          <w:color w:val="333333"/>
          <w:sz w:val="22"/>
          <w:szCs w:val="22"/>
        </w:rPr>
        <w:t xml:space="preserve">8. (B) Have an annual QSA assessment</w:t>
      </w:r>
    </w:p>
    <w:p>
      <w:pPr>
        <w:spacing w:after="60"/>
      </w:pPr>
      <w:r>
        <w:rPr>
          <w:rFonts w:ascii="Arial" w:cs="Arial" w:eastAsia="Arial" w:hAnsi="Arial"/>
          <w:color w:val="333333"/>
          <w:sz w:val="22"/>
          <w:szCs w:val="22"/>
        </w:rPr>
        <w:t xml:space="preserve">9. (B) The European Union</w:t>
      </w:r>
    </w:p>
    <w:p>
      <w:pPr>
        <w:spacing w:after="60"/>
      </w:pPr>
      <w:r>
        <w:rPr>
          <w:rFonts w:ascii="Arial" w:cs="Arial" w:eastAsia="Arial" w:hAnsi="Arial"/>
          <w:color w:val="333333"/>
          <w:sz w:val="22"/>
          <w:szCs w:val="22"/>
        </w:rPr>
        <w:t xml:space="preserve">10. (B) Creators abandoning a project with investor funds</w:t>
      </w:r>
    </w:p>
    <w:p>
      <w:pPr>
        <w:spacing w:after="60"/>
      </w:pPr>
      <w:r>
        <w:rPr>
          <w:rFonts w:ascii="Arial" w:cs="Arial" w:eastAsia="Arial" w:hAnsi="Arial"/>
          <w:color w:val="333333"/>
          <w:sz w:val="22"/>
          <w:szCs w:val="22"/>
        </w:rPr>
        <w:t xml:space="preserve">11. (B) Wire transfer authorisations</w:t>
      </w:r>
    </w:p>
    <w:p>
      <w:pPr>
        <w:spacing w:after="60"/>
      </w:pPr>
      <w:r>
        <w:rPr>
          <w:rFonts w:ascii="Arial" w:cs="Arial" w:eastAsia="Arial" w:hAnsi="Arial"/>
          <w:color w:val="333333"/>
          <w:sz w:val="22"/>
          <w:szCs w:val="22"/>
        </w:rPr>
        <w:t xml:space="preserve">12. (B) Fraud and conspiracy</w:t>
      </w:r>
    </w:p>
    <w:p>
      <w:pPr>
        <w:spacing w:after="60"/>
      </w:pPr>
      <w:r>
        <w:rPr>
          <w:rFonts w:ascii="Arial" w:cs="Arial" w:eastAsia="Arial" w:hAnsi="Arial"/>
          <w:color w:val="333333"/>
          <w:sz w:val="22"/>
          <w:szCs w:val="22"/>
        </w:rPr>
        <w:t xml:space="preserve">13. (B) The Bank of England</w:t>
      </w:r>
    </w:p>
    <w:p>
      <w:pPr>
        <w:spacing w:after="60"/>
      </w:pPr>
      <w:r>
        <w:rPr>
          <w:rFonts w:ascii="Arial" w:cs="Arial" w:eastAsia="Arial" w:hAnsi="Arial"/>
          <w:color w:val="333333"/>
          <w:sz w:val="22"/>
          <w:szCs w:val="22"/>
        </w:rPr>
        <w:t xml:space="preserve">14. (C) Faster Payments Service</w:t>
      </w:r>
    </w:p>
    <w:p>
      <w:pPr>
        <w:spacing w:after="60"/>
      </w:pPr>
      <w:r>
        <w:rPr>
          <w:rFonts w:ascii="Arial" w:cs="Arial" w:eastAsia="Arial" w:hAnsi="Arial"/>
          <w:color w:val="333333"/>
          <w:sz w:val="22"/>
          <w:szCs w:val="22"/>
        </w:rPr>
        <w:t xml:space="preserve">15. (B) Offline cryptocurrency storage</w:t>
      </w:r>
    </w:p>
    <w:p>
      <w:pPr>
        <w:spacing w:after="60"/>
      </w:pPr>
      <w:r>
        <w:rPr>
          <w:rFonts w:ascii="Arial" w:cs="Arial" w:eastAsia="Arial" w:hAnsi="Arial"/>
          <w:color w:val="333333"/>
          <w:sz w:val="22"/>
          <w:szCs w:val="22"/>
        </w:rPr>
        <w:t xml:space="preserve">16. (B) Modify legitimate banking pages in real time</w:t>
      </w:r>
    </w:p>
    <w:p>
      <w:pPr>
        <w:spacing w:after="60"/>
      </w:pPr>
      <w:r>
        <w:rPr>
          <w:rFonts w:ascii="Arial" w:cs="Arial" w:eastAsia="Arial" w:hAnsi="Arial"/>
          <w:color w:val="333333"/>
          <w:sz w:val="22"/>
          <w:szCs w:val="22"/>
        </w:rPr>
        <w:t xml:space="preserve">17. (B) The CMA</w:t>
      </w:r>
    </w:p>
    <w:p>
      <w:pPr>
        <w:spacing w:after="60"/>
      </w:pPr>
      <w:r>
        <w:rPr>
          <w:rFonts w:ascii="Arial" w:cs="Arial" w:eastAsia="Arial" w:hAnsi="Arial"/>
          <w:color w:val="333333"/>
          <w:sz w:val="22"/>
          <w:szCs w:val="22"/>
        </w:rPr>
        <w:t xml:space="preserve">18. (C) $5.9 million</w:t>
      </w:r>
    </w:p>
    <w:p>
      <w:pPr>
        <w:spacing w:after="60"/>
      </w:pPr>
      <w:r>
        <w:rPr>
          <w:rFonts w:ascii="Arial" w:cs="Arial" w:eastAsia="Arial" w:hAnsi="Arial"/>
          <w:color w:val="333333"/>
          <w:sz w:val="22"/>
          <w:szCs w:val="22"/>
        </w:rPr>
        <w:t xml:space="preserve">19. (B) Financial Services and Markets Act 2023</w:t>
      </w:r>
    </w:p>
    <w:p>
      <w:pPr>
        <w:spacing w:after="60"/>
      </w:pPr>
      <w:r>
        <w:rPr>
          <w:rFonts w:ascii="Arial" w:cs="Arial" w:eastAsia="Arial" w:hAnsi="Arial"/>
          <w:color w:val="333333"/>
          <w:sz w:val="22"/>
          <w:szCs w:val="22"/>
        </w:rPr>
        <w:t xml:space="preserve">20. (B) Anti-money laundering</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Arial" w:cs="Arial" w:eastAsia="Arial" w:hAnsi="Arial"/>
        <w:i/>
        <w:iCs/>
        <w:color w:val="999999"/>
        <w:sz w:val="16"/>
        <w:szCs w:val="16"/>
      </w:rPr>
      <w:t xml:space="preserve">Level 4 Diploma in Cyber Security – Cyber Security Threats and Risks: Banking and Finance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75B6"/>
      <w:sz w:val="30"/>
      <w:szCs w:val="30"/>
    </w:rPr>
  </w:style>
  <w:style w:type="paragraph" w:styleId="Heading3">
    <w:name w:val="Heading 3"/>
    <w:basedOn w:val="Normal"/>
    <w:next w:val="Normal"/>
    <w:qFormat/>
    <w:pPr>
      <w:spacing w:after="120" w:before="200"/>
      <w:outlineLvl w:val="2"/>
    </w:pPr>
    <w:rPr>
      <w:rFonts w:ascii="Arial" w:cs="Arial" w:eastAsia="Arial" w:hAnsi="Arial"/>
      <w:b/>
      <w:bCs/>
      <w:color w:val="33333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2026-04-04T19:14:49.530Z</dcterms:created>
  <dcterms:modified xsi:type="dcterms:W3CDTF">2026-04-04T19:14:49.531Z</dcterms:modified>
</cp:coreProperties>
</file>

<file path=docProps/custom.xml><?xml version="1.0" encoding="utf-8"?>
<Properties xmlns="http://schemas.openxmlformats.org/officeDocument/2006/custom-properties" xmlns:vt="http://schemas.openxmlformats.org/officeDocument/2006/docPropsVTypes"/>
</file>